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80409" w14:textId="77777777" w:rsidR="007366B2" w:rsidRPr="007366B2" w:rsidRDefault="00405FBE" w:rsidP="007366B2">
      <w:pPr>
        <w:pStyle w:val="Ttulo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27295355"/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7366B2" w:rsidRPr="0073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stado nutricional comparado aos desfechos de pacientes em terapia nutricional domiciliar: análise de dez anos de política pública</w:t>
      </w:r>
      <w:bookmarkEnd w:id="0"/>
      <w:r w:rsidR="00C57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(2006-2015)</w:t>
      </w:r>
    </w:p>
    <w:p w14:paraId="5E6F896F" w14:textId="77777777" w:rsidR="007366B2" w:rsidRPr="007366B2" w:rsidRDefault="007366B2" w:rsidP="007366B2">
      <w:pPr>
        <w:rPr>
          <w:rFonts w:ascii="Times New Roman" w:hAnsi="Times New Roman" w:cs="Times New Roman"/>
        </w:rPr>
      </w:pPr>
    </w:p>
    <w:p w14:paraId="77F8620E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Caryna Eurich Mazur</w:t>
      </w:r>
      <w:r w:rsidRPr="007366B2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7366B2">
        <w:rPr>
          <w:rFonts w:ascii="Times New Roman" w:hAnsi="Times New Roman" w:cs="Times New Roman"/>
          <w:b/>
          <w:sz w:val="24"/>
          <w:szCs w:val="24"/>
        </w:rPr>
        <w:t>, Renata CarolyneChavoniZago</w:t>
      </w:r>
      <w:r w:rsidRPr="007366B2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7366B2">
        <w:rPr>
          <w:rFonts w:ascii="Times New Roman" w:hAnsi="Times New Roman" w:cs="Times New Roman"/>
          <w:b/>
          <w:sz w:val="24"/>
          <w:szCs w:val="24"/>
        </w:rPr>
        <w:t>, Karen Larissa Zene</w:t>
      </w:r>
      <w:r w:rsidRPr="007366B2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r w:rsidRPr="007366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093E">
        <w:rPr>
          <w:rFonts w:ascii="Times New Roman" w:hAnsi="Times New Roman" w:cs="Times New Roman"/>
          <w:b/>
          <w:sz w:val="24"/>
          <w:szCs w:val="24"/>
        </w:rPr>
        <w:t>Estela Iraci Rabito</w:t>
      </w:r>
      <w:r w:rsidR="0034093E" w:rsidRPr="0034093E">
        <w:rPr>
          <w:rFonts w:ascii="Times New Roman" w:hAnsi="Times New Roman" w:cs="Times New Roman"/>
          <w:b/>
          <w:sz w:val="24"/>
          <w:szCs w:val="24"/>
          <w:vertAlign w:val="superscript"/>
        </w:rPr>
        <w:t>d</w:t>
      </w:r>
      <w:r w:rsidR="003409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66B2">
        <w:rPr>
          <w:rFonts w:ascii="Times New Roman" w:hAnsi="Times New Roman" w:cs="Times New Roman"/>
          <w:b/>
          <w:sz w:val="24"/>
          <w:szCs w:val="24"/>
        </w:rPr>
        <w:t>Maria Eliana MadalozzoSchieferdecker</w:t>
      </w:r>
      <w:r w:rsidR="0034093E">
        <w:rPr>
          <w:rFonts w:ascii="Times New Roman" w:hAnsi="Times New Roman" w:cs="Times New Roman"/>
          <w:b/>
          <w:sz w:val="24"/>
          <w:szCs w:val="24"/>
          <w:vertAlign w:val="superscript"/>
        </w:rPr>
        <w:t>e</w:t>
      </w:r>
      <w:r w:rsidRPr="007366B2">
        <w:rPr>
          <w:rFonts w:ascii="Times New Roman" w:hAnsi="Times New Roman" w:cs="Times New Roman"/>
          <w:b/>
          <w:sz w:val="24"/>
          <w:szCs w:val="24"/>
        </w:rPr>
        <w:t>, Eliane Mara Cesário Pereira Maluf</w:t>
      </w:r>
      <w:r w:rsidR="0034093E">
        <w:rPr>
          <w:rFonts w:ascii="Times New Roman" w:hAnsi="Times New Roman" w:cs="Times New Roman"/>
          <w:b/>
          <w:sz w:val="24"/>
          <w:szCs w:val="24"/>
          <w:vertAlign w:val="superscript"/>
        </w:rPr>
        <w:t>f</w:t>
      </w:r>
    </w:p>
    <w:p w14:paraId="0ED6A129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366B2">
        <w:rPr>
          <w:rFonts w:ascii="Times New Roman" w:hAnsi="Times New Roman" w:cs="Times New Roman"/>
          <w:sz w:val="24"/>
          <w:szCs w:val="24"/>
        </w:rPr>
        <w:t xml:space="preserve"> Programa de Pós-graduação em Medicina Interna, Universidade Federal do Paraná, Brasil, </w:t>
      </w:r>
      <w:hyperlink r:id="rId7" w:history="1">
        <w:r w:rsidRPr="007366B2">
          <w:rPr>
            <w:rStyle w:val="Hyperlink"/>
            <w:rFonts w:ascii="Times New Roman" w:hAnsi="Times New Roman" w:cs="Times New Roman"/>
            <w:sz w:val="24"/>
            <w:szCs w:val="24"/>
          </w:rPr>
          <w:t>carynanutricionista@gmail.com</w:t>
        </w:r>
      </w:hyperlink>
    </w:p>
    <w:p w14:paraId="5AF14EED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7366B2">
        <w:rPr>
          <w:rFonts w:ascii="Times New Roman" w:hAnsi="Times New Roman" w:cs="Times New Roman"/>
          <w:sz w:val="24"/>
          <w:szCs w:val="24"/>
        </w:rPr>
        <w:t xml:space="preserve"> Programa de Pós-graduação em Alimentação e Nutrição, Universidade Federal do Paraná, Brasil, </w:t>
      </w:r>
      <w:hyperlink r:id="rId8" w:history="1">
        <w:r w:rsidRPr="007366B2">
          <w:rPr>
            <w:rStyle w:val="Hyperlink"/>
            <w:rFonts w:ascii="Times New Roman" w:hAnsi="Times New Roman" w:cs="Times New Roman"/>
            <w:sz w:val="24"/>
            <w:szCs w:val="24"/>
          </w:rPr>
          <w:t>renatachavoni@hotmail.com</w:t>
        </w:r>
      </w:hyperlink>
    </w:p>
    <w:p w14:paraId="766DBA4D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7366B2">
        <w:rPr>
          <w:rFonts w:ascii="Times New Roman" w:hAnsi="Times New Roman" w:cs="Times New Roman"/>
          <w:sz w:val="24"/>
          <w:szCs w:val="24"/>
        </w:rPr>
        <w:t xml:space="preserve"> Departamento de Nutrição. Universidade Estadual do Centro-Oeste, Brasil, </w:t>
      </w:r>
      <w:hyperlink r:id="rId9" w:history="1">
        <w:r w:rsidRPr="007366B2">
          <w:rPr>
            <w:rStyle w:val="Hyperlink"/>
            <w:rFonts w:ascii="Times New Roman" w:hAnsi="Times New Roman" w:cs="Times New Roman"/>
            <w:sz w:val="24"/>
            <w:szCs w:val="24"/>
          </w:rPr>
          <w:t>karenzene@outlook.com</w:t>
        </w:r>
      </w:hyperlink>
    </w:p>
    <w:p w14:paraId="6A9124DD" w14:textId="77777777" w:rsidR="0034093E" w:rsidRPr="0034093E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  <w:vertAlign w:val="superscript"/>
        </w:rPr>
        <w:t xml:space="preserve">d </w:t>
      </w:r>
      <w:r w:rsidR="0034093E" w:rsidRPr="007366B2">
        <w:rPr>
          <w:rFonts w:ascii="Times New Roman" w:hAnsi="Times New Roman" w:cs="Times New Roman"/>
          <w:sz w:val="24"/>
          <w:szCs w:val="24"/>
        </w:rPr>
        <w:t>Programa de Pós-graduação em Alimentação e Nutrição, Universidade Federal do Paraná, Brasil</w:t>
      </w:r>
      <w:hyperlink r:id="rId10" w:history="1">
        <w:r w:rsidR="005B1893" w:rsidRPr="007843CA">
          <w:rPr>
            <w:rStyle w:val="Hyperlink"/>
            <w:rFonts w:ascii="Times New Roman" w:hAnsi="Times New Roman" w:cs="Times New Roman"/>
            <w:sz w:val="24"/>
            <w:szCs w:val="24"/>
          </w:rPr>
          <w:t>estelarabito@yahoo.com.br</w:t>
        </w:r>
      </w:hyperlink>
    </w:p>
    <w:p w14:paraId="5D402D17" w14:textId="77777777" w:rsidR="007366B2" w:rsidRPr="007366B2" w:rsidRDefault="0034093E" w:rsidP="0073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7366B2" w:rsidRPr="007366B2">
        <w:rPr>
          <w:rFonts w:ascii="Times New Roman" w:hAnsi="Times New Roman" w:cs="Times New Roman"/>
          <w:sz w:val="24"/>
          <w:szCs w:val="24"/>
        </w:rPr>
        <w:t>Programa de Pós-graduação em Alimentação e Nutrição, Universidade Federal do Paraná, Brasil</w:t>
      </w:r>
      <w:hyperlink r:id="rId11" w:history="1">
        <w:r w:rsidR="007366B2" w:rsidRPr="007366B2">
          <w:rPr>
            <w:rStyle w:val="Hyperlink"/>
            <w:rFonts w:ascii="Times New Roman" w:hAnsi="Times New Roman" w:cs="Times New Roman"/>
            <w:sz w:val="24"/>
            <w:szCs w:val="24"/>
          </w:rPr>
          <w:t>melianamschiefer@gmail.com</w:t>
        </w:r>
      </w:hyperlink>
    </w:p>
    <w:p w14:paraId="020EC066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 xml:space="preserve">Programa de Pós-graduação em Medicina Interna, Universidade Federal do Paraná, Brasil, </w:t>
      </w:r>
      <w:hyperlink r:id="rId12" w:history="1">
        <w:r w:rsidRPr="007366B2">
          <w:rPr>
            <w:rStyle w:val="Hyperlink"/>
            <w:rFonts w:ascii="Times New Roman" w:hAnsi="Times New Roman" w:cs="Times New Roman"/>
            <w:sz w:val="24"/>
            <w:szCs w:val="24"/>
          </w:rPr>
          <w:t>eliane.cesario@yahoo.com.br</w:t>
        </w:r>
      </w:hyperlink>
    </w:p>
    <w:p w14:paraId="0AF7B1E5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66B2">
        <w:rPr>
          <w:rFonts w:ascii="Times New Roman" w:hAnsi="Times New Roman" w:cs="Times New Roman"/>
          <w:b/>
          <w:sz w:val="20"/>
          <w:szCs w:val="24"/>
        </w:rPr>
        <w:t>Autor correspondente:</w:t>
      </w:r>
    </w:p>
    <w:p w14:paraId="5B705171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366B2">
        <w:rPr>
          <w:rFonts w:ascii="Times New Roman" w:hAnsi="Times New Roman" w:cs="Times New Roman"/>
          <w:sz w:val="20"/>
          <w:szCs w:val="24"/>
        </w:rPr>
        <w:t>Caryna Eurich Mazur</w:t>
      </w:r>
    </w:p>
    <w:p w14:paraId="7EF1562C" w14:textId="77777777" w:rsidR="007366B2" w:rsidRPr="007366B2" w:rsidRDefault="007366B2" w:rsidP="007366B2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366B2">
        <w:rPr>
          <w:rFonts w:ascii="Times New Roman" w:hAnsi="Times New Roman" w:cs="Times New Roman"/>
          <w:sz w:val="20"/>
          <w:szCs w:val="24"/>
        </w:rPr>
        <w:t>Pós-Graduação em Medicina Interna – Universidade Federal do Paraná (UFPR)</w:t>
      </w:r>
    </w:p>
    <w:p w14:paraId="0B83C9C1" w14:textId="77777777" w:rsidR="007366B2" w:rsidRPr="007366B2" w:rsidRDefault="007366B2" w:rsidP="007366B2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7366B2">
        <w:rPr>
          <w:rFonts w:ascii="Times New Roman" w:hAnsi="Times New Roman" w:cs="Times New Roman"/>
          <w:sz w:val="20"/>
          <w:szCs w:val="24"/>
        </w:rPr>
        <w:t>Rua General Carneiro, 181. Alto da Glória, Curitiba, Paraná, Brasil.</w:t>
      </w:r>
    </w:p>
    <w:p w14:paraId="59DF96A7" w14:textId="77777777" w:rsidR="007366B2" w:rsidRPr="007366B2" w:rsidRDefault="007366B2" w:rsidP="007366B2">
      <w:p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366B2">
        <w:rPr>
          <w:rFonts w:ascii="Times New Roman" w:eastAsia="Times New Roman" w:hAnsi="Times New Roman" w:cs="Times New Roman"/>
          <w:sz w:val="20"/>
          <w:szCs w:val="24"/>
        </w:rPr>
        <w:t>Tel/fax: (55 42) 3036-1746</w:t>
      </w:r>
    </w:p>
    <w:p w14:paraId="71A35E94" w14:textId="77777777" w:rsidR="007366B2" w:rsidRPr="007366B2" w:rsidRDefault="007366B2" w:rsidP="007366B2">
      <w:pPr>
        <w:spacing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366B2">
        <w:rPr>
          <w:rFonts w:ascii="Times New Roman" w:eastAsia="Times New Roman" w:hAnsi="Times New Roman" w:cs="Times New Roman"/>
          <w:sz w:val="20"/>
          <w:szCs w:val="24"/>
        </w:rPr>
        <w:t xml:space="preserve">E-mail: </w:t>
      </w:r>
      <w:hyperlink r:id="rId13" w:history="1">
        <w:r w:rsidRPr="007366B2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carynanutricionista@gmail.com</w:t>
        </w:r>
      </w:hyperlink>
    </w:p>
    <w:p w14:paraId="237052C5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 xml:space="preserve">Título curto: Terapia nutricional domiciliar: estado nutricional </w:t>
      </w:r>
    </w:p>
    <w:p w14:paraId="272424E9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8D437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57E20617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Introdução e objetivo: </w:t>
      </w:r>
      <w:r w:rsidRPr="007366B2">
        <w:rPr>
          <w:rFonts w:ascii="Times New Roman" w:hAnsi="Times New Roman" w:cs="Times New Roman"/>
          <w:sz w:val="24"/>
          <w:szCs w:val="24"/>
        </w:rPr>
        <w:t>A terapia nutricional domiciliar (TND) é uma modalidade de cuidado que pode estar associada ao estado nutricional para sua efetividade. O objetivo deste trabalho foi verificar o estado nutricional e relacionar com os desfechos de indivíduos em TND durante o período de dez anos.</w:t>
      </w:r>
    </w:p>
    <w:p w14:paraId="15107E78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Método:</w:t>
      </w:r>
      <w:r w:rsidRPr="007366B2">
        <w:rPr>
          <w:rFonts w:ascii="Times New Roman" w:hAnsi="Times New Roman" w:cs="Times New Roman"/>
          <w:sz w:val="24"/>
          <w:szCs w:val="24"/>
        </w:rPr>
        <w:t xml:space="preserve"> Trata-se de um estudo retrospectivo com avaliação nutricional de indivíduos em TND em Curitiba, Brasil, de janeiro de 2006 a dezembro de 2015. Foram coletados dados de peso, altura para posterior cálculo do índice de massa corporal (IMC), também foi aferida a circunferência do braço. Para as associações foram dicotomizados os pacientes com desfechos positivos (sobrevivência: alta, continuidade, mudança de domícilio) e desfechos negativos (óbito). Para comparação dos dados foi aplicado test T pareado, teste de Wilcoxon, além de análise bivariada.</w:t>
      </w:r>
    </w:p>
    <w:p w14:paraId="34D07A77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 xml:space="preserve">Resultados: </w:t>
      </w:r>
      <w:r w:rsidRPr="007366B2">
        <w:rPr>
          <w:rFonts w:ascii="Times New Roman" w:hAnsi="Times New Roman" w:cs="Times New Roman"/>
          <w:sz w:val="24"/>
          <w:szCs w:val="24"/>
        </w:rPr>
        <w:t>1231 prontuários de pacientes foram incluídos, onde 54,4% era do sexo masculino, 68% eram idosos e 65% evoluíram a óbito durante a TND. Conforme o IMC 69,4% e 74,7% estavam em baixo peso, na avaliação inicial e final, respectivamente. O grupo dos idosos foi o que mais alterou o percentual de classificação do IMC. Foram observados como fatores de risco para o óbito na TND: mais que 200 dias de TND e o baixo peso no inicio e no fim da terapia (p&lt;0,05).</w:t>
      </w:r>
    </w:p>
    <w:p w14:paraId="3CF6FBE6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Conclusões</w:t>
      </w:r>
      <w:r w:rsidRPr="007366B2">
        <w:rPr>
          <w:rFonts w:ascii="Times New Roman" w:hAnsi="Times New Roman" w:cs="Times New Roman"/>
          <w:sz w:val="24"/>
          <w:szCs w:val="24"/>
        </w:rPr>
        <w:t xml:space="preserve">: Observou-se grande percentual de baixo peso no início e no final, com expressiva mortalidade durante a TND. O grupo de idosos foi o mais susceptível nos dois cenários. </w:t>
      </w:r>
    </w:p>
    <w:p w14:paraId="6A2A8A22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 xml:space="preserve">Palavras-chave: Adultos; Assistência Domiciliar; Avaliação Nutricional; Idosos; Nutrição enteral; </w:t>
      </w:r>
    </w:p>
    <w:p w14:paraId="7D02238C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1AB2F6" w14:textId="77777777" w:rsidR="007366B2" w:rsidRPr="007366B2" w:rsidRDefault="007366B2" w:rsidP="007366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59506002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>O estado nutricional está relacionado à saúde, bem-estar físico-social e qualidade de vida. Na terapia nutricional domiciliar (TND), a avaliação do estado nutricional é importante para determinar as necessidades energéticas, de macro e micronutrientes, bem como gerar subsídios para melhoria da condição clínica do paciente. A TND é um método eficaz de fornecer nutrientes para indivíduos incapazes de satisfazer suas necessidades nutricionais em diferentes contextos de saúde, como na impossibilidade de alimentação por via fisiológica [1].</w:t>
      </w:r>
    </w:p>
    <w:p w14:paraId="7B8001FE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 xml:space="preserve">Embora existam várias limitações metodológicas, vários estudos mostram o estado nutricional dos pacientes </w:t>
      </w:r>
      <w:r w:rsidR="00C57B2A">
        <w:rPr>
          <w:rFonts w:ascii="Times New Roman" w:hAnsi="Times New Roman" w:cs="Times New Roman"/>
          <w:sz w:val="24"/>
          <w:szCs w:val="24"/>
        </w:rPr>
        <w:t xml:space="preserve">em TND [2,3.4,5]. Sabe-se que o baixo peso e a </w:t>
      </w:r>
      <w:r w:rsidRPr="007366B2">
        <w:rPr>
          <w:rFonts w:ascii="Times New Roman" w:hAnsi="Times New Roman" w:cs="Times New Roman"/>
          <w:sz w:val="24"/>
          <w:szCs w:val="24"/>
        </w:rPr>
        <w:lastRenderedPageBreak/>
        <w:t>desnutrição é muito prevalente, especialmente quando associada ao diagnóstico clínico prévio à TND, onde pacientes oncológicos estão mais propícios a desenvolver desnutrição ou perder peso no domicílio, seja pela própria doença, mas também por distrofia muscular [6].</w:t>
      </w:r>
    </w:p>
    <w:p w14:paraId="78D9623C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>A perda de massa muscular e perda de peso constituem dois agravantes de mau prognóstico para pacientes em TND. Também, há situações em que o estado nutricional é a</w:t>
      </w:r>
      <w:r w:rsidR="00C57B2A">
        <w:rPr>
          <w:rFonts w:ascii="Times New Roman" w:hAnsi="Times New Roman" w:cs="Times New Roman"/>
          <w:sz w:val="24"/>
          <w:szCs w:val="24"/>
        </w:rPr>
        <w:t xml:space="preserve">gravado devido ao baixo consumo </w:t>
      </w:r>
      <w:r w:rsidR="009246CC"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>energético</w:t>
      </w: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366B2">
        <w:rPr>
          <w:rFonts w:ascii="Times New Roman" w:hAnsi="Times New Roman" w:cs="Times New Roman"/>
          <w:sz w:val="24"/>
          <w:szCs w:val="24"/>
        </w:rPr>
        <w:t xml:space="preserve">especialmente quando não há adequação da fórmula/dieta inserida pela sonda/ostomia. </w:t>
      </w:r>
    </w:p>
    <w:p w14:paraId="469A8677" w14:textId="77777777" w:rsidR="00C57B2A" w:rsidRPr="00C57B2A" w:rsidRDefault="009246CC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>No sul do Brasil, na cidade de</w:t>
      </w:r>
      <w:r w:rsidR="007366B2"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Curitiba, desde 2006, dentro do Sistema Único de Saúde (SUS), existe o Programa de Atenção Nutricional para Pessoas com Necessidades Alimentares Especiais (PAN), que dentre seus objetivos estruturais está o provimento de dietas adequadas à indivíduos em TND, por meio de assistência nutricional levando em consideração o estado nutricional do paciente.</w:t>
      </w: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256803" w14:textId="77777777" w:rsidR="007366B2" w:rsidRPr="007366B2" w:rsidRDefault="009246CC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Portanto, o acompanhamento </w:t>
      </w:r>
      <w:r w:rsidR="007366B2"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estado nutricional </w:t>
      </w: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pacientes em TND </w:t>
      </w:r>
      <w:r w:rsidR="007366B2"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>é uma importante medida</w:t>
      </w: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monitoramento e fundamenta também </w:t>
      </w:r>
      <w:r w:rsidR="007366B2"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>a melhoria de políticas públicas, tal como o PAN, e a melhor condução de</w:t>
      </w:r>
      <w:r w:rsidR="007366B2" w:rsidRPr="007366B2">
        <w:rPr>
          <w:rFonts w:ascii="Times New Roman" w:hAnsi="Times New Roman" w:cs="Times New Roman"/>
          <w:sz w:val="24"/>
          <w:szCs w:val="24"/>
        </w:rPr>
        <w:t xml:space="preserve"> estratégicas nutricionais e dietoterápicas para o alcance de qualidade de vida e melhor prognóstico clínico dos pacientes em TND. Este é um estudo retrospectivo e inédito, único no país com grande número de pacientes. O objetivo deste trabalho foi avaliar o estado clínico-nutricional e relacionar com os desfechos de indivíduos em TND durante o período de dez anos.</w:t>
      </w:r>
    </w:p>
    <w:p w14:paraId="0313FA55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774E0B" w14:textId="77777777" w:rsidR="007366B2" w:rsidRPr="007366B2" w:rsidRDefault="007366B2" w:rsidP="007366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Materiais e Métodos</w:t>
      </w:r>
    </w:p>
    <w:p w14:paraId="6BF9DA8E" w14:textId="19A40231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>Trata-se de estudo retrospectivo com coleta de dados dos prontuários de pacientes em TND atendid</w:t>
      </w:r>
      <w:r w:rsidR="009246CC">
        <w:rPr>
          <w:rFonts w:ascii="Times New Roman" w:hAnsi="Times New Roman" w:cs="Times New Roman"/>
          <w:sz w:val="24"/>
          <w:szCs w:val="24"/>
        </w:rPr>
        <w:t xml:space="preserve">os pelo PAN em Curitiba, </w:t>
      </w:r>
      <w:r w:rsidR="009246CC"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>Paraná - Brasil</w:t>
      </w:r>
      <w:r w:rsidR="009246CC">
        <w:rPr>
          <w:rFonts w:ascii="Times New Roman" w:hAnsi="Times New Roman" w:cs="Times New Roman"/>
          <w:sz w:val="24"/>
          <w:szCs w:val="24"/>
        </w:rPr>
        <w:t>,</w:t>
      </w:r>
      <w:r w:rsidRPr="007366B2">
        <w:rPr>
          <w:rFonts w:ascii="Times New Roman" w:hAnsi="Times New Roman" w:cs="Times New Roman"/>
          <w:sz w:val="24"/>
          <w:szCs w:val="24"/>
        </w:rPr>
        <w:t xml:space="preserve"> entre janeiro de 2006 a dezembro de 2015, completando dez anos de análise. Antes da coleta de dados, foi realizado previamente um estudo piloto para verificação das informações obtidas e a veracidade das mesmas. O projeto foi aprovado pelo Comitê de Ética em Pesquisa da Secretaria Municip</w:t>
      </w:r>
      <w:r w:rsidR="00C15326">
        <w:rPr>
          <w:rFonts w:ascii="Times New Roman" w:hAnsi="Times New Roman" w:cs="Times New Roman"/>
          <w:sz w:val="24"/>
          <w:szCs w:val="24"/>
        </w:rPr>
        <w:t>al de Saúde de Curitiba e</w:t>
      </w:r>
      <w:r w:rsidRPr="007366B2">
        <w:rPr>
          <w:rFonts w:ascii="Times New Roman" w:hAnsi="Times New Roman" w:cs="Times New Roman"/>
          <w:sz w:val="24"/>
          <w:szCs w:val="24"/>
        </w:rPr>
        <w:t xml:space="preserve"> pelo Comitê de Ética em Pesquisa da Universidade Federal do Paraná (CAE 49265615.1.0000.0102/2015).</w:t>
      </w:r>
    </w:p>
    <w:p w14:paraId="6B427344" w14:textId="1A2006A5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 xml:space="preserve">As medidas antropométricas foram escolhidas como parâmetro objetivo de avaliação do estado nutricional. Foram coletados dados referentes ao peso atual na primeira e última visita, além da estatura, que foram utilizados para o cálculo do Índice de Massa Corporal (IMC), destes dois momentos. A classificação do IMC obteve-se com base nas normativas da Organização Mundial da Saúde [7] para adultos e Lipzchitz [8] </w:t>
      </w:r>
      <w:r w:rsidRPr="007366B2">
        <w:rPr>
          <w:rFonts w:ascii="Times New Roman" w:hAnsi="Times New Roman" w:cs="Times New Roman"/>
          <w:sz w:val="24"/>
          <w:szCs w:val="24"/>
        </w:rPr>
        <w:lastRenderedPageBreak/>
        <w:t xml:space="preserve">para idosos. </w:t>
      </w:r>
      <w:r w:rsidR="00C15326">
        <w:rPr>
          <w:rFonts w:ascii="Times New Roman" w:hAnsi="Times New Roman" w:cs="Times New Roman"/>
          <w:sz w:val="24"/>
          <w:szCs w:val="24"/>
        </w:rPr>
        <w:t xml:space="preserve">Para análise foram agrupados em: baixo peso ou eutrofia/excesso de peso/sobrepeso, conforme a classificação do IMC. </w:t>
      </w:r>
      <w:r w:rsidRPr="007366B2">
        <w:rPr>
          <w:rFonts w:ascii="Times New Roman" w:hAnsi="Times New Roman" w:cs="Times New Roman"/>
          <w:sz w:val="24"/>
          <w:szCs w:val="24"/>
        </w:rPr>
        <w:t xml:space="preserve">Ainda, foi aferida a circunferência do braço (CB), no ponto médio entre o acrômio e o olécrano. </w:t>
      </w:r>
    </w:p>
    <w:p w14:paraId="6F4CF74E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>Foram avaliados os dados constantes no prontuário, como número de hospitalizações durante a TND e tempo total de TND. Para as associações foram dicotomizados os pacientes com desfechos positivos (</w:t>
      </w: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>sobrevivência</w:t>
      </w:r>
      <w:r w:rsidR="00C57B2A"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>: alta e</w:t>
      </w: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continuidade</w:t>
      </w:r>
      <w:r w:rsidR="000E3662"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TND</w:t>
      </w:r>
      <w:r w:rsidRPr="00C57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366B2">
        <w:rPr>
          <w:rFonts w:ascii="Times New Roman" w:hAnsi="Times New Roman" w:cs="Times New Roman"/>
          <w:sz w:val="24"/>
          <w:szCs w:val="24"/>
        </w:rPr>
        <w:t>e desfechos negativos (óbito).</w:t>
      </w:r>
    </w:p>
    <w:p w14:paraId="76B8520F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 xml:space="preserve">Para a análise estatística foram considerados valores descritivos </w:t>
      </w:r>
      <w:r w:rsidR="00C57B2A" w:rsidRPr="007366B2">
        <w:rPr>
          <w:rFonts w:ascii="Times New Roman" w:hAnsi="Times New Roman" w:cs="Times New Roman"/>
          <w:sz w:val="24"/>
          <w:szCs w:val="24"/>
        </w:rPr>
        <w:t>e</w:t>
      </w:r>
      <w:r w:rsidRPr="007366B2">
        <w:rPr>
          <w:rFonts w:ascii="Times New Roman" w:hAnsi="Times New Roman" w:cs="Times New Roman"/>
          <w:sz w:val="24"/>
          <w:szCs w:val="24"/>
        </w:rPr>
        <w:t xml:space="preserve"> mensuradas inferências. Foi aplicado o teste de Kolmogorov–Smirnov para avaliação da normalidade dos dados. Para associação das variáveis paramétricas foi utilizado o teste T pareado, já para aquelas consideradas não paramétricas foi aplicado o teste de Wilcoxon. A medida de efeito utilizada foi o Risco Relativo (RR) juntamente com intervalo de confiança de 95%. O critério de entrada de variável foi o valor de p&lt;0,20 na análise bivariada. O nível de significância adotado foi de 5% e o tratamento estatístico de dados foi realizado com auxílio do SPSS versão 22.0 para Windows.</w:t>
      </w:r>
    </w:p>
    <w:p w14:paraId="18310ADA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7A1B59" w14:textId="77777777" w:rsidR="007366B2" w:rsidRPr="007366B2" w:rsidRDefault="007366B2" w:rsidP="007366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Resultados</w:t>
      </w:r>
    </w:p>
    <w:p w14:paraId="6377EA1D" w14:textId="009BC791" w:rsidR="007366B2" w:rsidRPr="007366B2" w:rsidRDefault="000E3662" w:rsidP="000E366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6B2" w:rsidRPr="007366B2">
        <w:rPr>
          <w:rFonts w:ascii="Times New Roman" w:hAnsi="Times New Roman" w:cs="Times New Roman"/>
          <w:sz w:val="24"/>
          <w:szCs w:val="24"/>
        </w:rPr>
        <w:t>Foram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6B2" w:rsidRPr="007366B2">
        <w:rPr>
          <w:rFonts w:ascii="Times New Roman" w:hAnsi="Times New Roman" w:cs="Times New Roman"/>
          <w:sz w:val="24"/>
          <w:szCs w:val="24"/>
        </w:rPr>
        <w:t>inclusos na amostra os prontuários de 1231 pacientes</w:t>
      </w:r>
      <w:r w:rsidR="00A172B6">
        <w:rPr>
          <w:rFonts w:ascii="Times New Roman" w:hAnsi="Times New Roman" w:cs="Times New Roman"/>
          <w:sz w:val="24"/>
          <w:szCs w:val="24"/>
        </w:rPr>
        <w:t>.</w:t>
      </w:r>
      <w:r w:rsidR="00C15326">
        <w:rPr>
          <w:rFonts w:ascii="Times New Roman" w:hAnsi="Times New Roman" w:cs="Times New Roman"/>
          <w:sz w:val="24"/>
          <w:szCs w:val="24"/>
        </w:rPr>
        <w:t xml:space="preserve"> </w:t>
      </w:r>
      <w:r w:rsidR="00A172B6">
        <w:rPr>
          <w:rFonts w:ascii="Times New Roman" w:hAnsi="Times New Roman" w:cs="Times New Roman"/>
          <w:sz w:val="24"/>
          <w:szCs w:val="24"/>
        </w:rPr>
        <w:t>A</w:t>
      </w:r>
      <w:r w:rsidR="007366B2" w:rsidRPr="007366B2">
        <w:rPr>
          <w:rFonts w:ascii="Times New Roman" w:hAnsi="Times New Roman" w:cs="Times New Roman"/>
          <w:sz w:val="24"/>
          <w:szCs w:val="24"/>
        </w:rPr>
        <w:t xml:space="preserve"> idade mínima</w:t>
      </w:r>
      <w:r w:rsidR="00A172B6">
        <w:rPr>
          <w:rFonts w:ascii="Times New Roman" w:hAnsi="Times New Roman" w:cs="Times New Roman"/>
          <w:sz w:val="24"/>
          <w:szCs w:val="24"/>
        </w:rPr>
        <w:t xml:space="preserve"> </w:t>
      </w:r>
      <w:r w:rsidR="00A172B6"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>dos pacientes em TND</w:t>
      </w:r>
      <w:r w:rsidR="007366B2" w:rsidRPr="007366B2">
        <w:rPr>
          <w:rFonts w:ascii="Times New Roman" w:hAnsi="Times New Roman" w:cs="Times New Roman"/>
          <w:sz w:val="24"/>
          <w:szCs w:val="24"/>
        </w:rPr>
        <w:t xml:space="preserve"> foi de 20 anos e a máxima de 105 anos, com média de 66,69±17,59 anos. A mediana de uso da TND foi 180 dias (mínimo: 1 dia; máximo: 4200 dias). A maioria da amostra era constituída por idosos (68%). Cerca de 32</w:t>
      </w:r>
      <w:r w:rsidR="00C15326">
        <w:rPr>
          <w:rFonts w:ascii="Times New Roman" w:hAnsi="Times New Roman" w:cs="Times New Roman"/>
          <w:sz w:val="24"/>
          <w:szCs w:val="24"/>
        </w:rPr>
        <w:t xml:space="preserve">,6% (n=401) foram reinternados </w:t>
      </w:r>
      <w:r w:rsidR="007366B2" w:rsidRPr="007366B2">
        <w:rPr>
          <w:rFonts w:ascii="Times New Roman" w:hAnsi="Times New Roman" w:cs="Times New Roman"/>
          <w:sz w:val="24"/>
          <w:szCs w:val="24"/>
        </w:rPr>
        <w:t xml:space="preserve">durante o período de TND, as causas eram muitas, como pneumonias, infecções de repetição, complicações com a sonda etc; 42% dos pacientes reinternaram apenas uma vez. O número de visitas dos nutricionistas aos pacientes foi muito divergente variando de 1 visita até 32 visitas. O IMC médio inicial foi 18,89±4,56 kg/m², enquanto que o final foi 17,95±4,49 kg/m² (p&lt;0,05) (tabela 1). </w:t>
      </w:r>
    </w:p>
    <w:p w14:paraId="0A5D5100" w14:textId="77777777" w:rsidR="007366B2" w:rsidRPr="007366B2" w:rsidRDefault="007366B2" w:rsidP="00736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F92725" w14:textId="1C205237" w:rsidR="007366B2" w:rsidRPr="00C15326" w:rsidRDefault="007366B2" w:rsidP="007366B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 xml:space="preserve">Tabela 1 – </w:t>
      </w:r>
      <w:bookmarkStart w:id="2" w:name="_Hlk527019602"/>
      <w:r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>Características gerais da amostra</w:t>
      </w:r>
      <w:r w:rsidR="00C15326"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3662"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>de acordo com faixa etária</w:t>
      </w:r>
      <w:r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2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3036"/>
        <w:gridCol w:w="1476"/>
      </w:tblGrid>
      <w:tr w:rsidR="007366B2" w:rsidRPr="007366B2" w14:paraId="69F3C836" w14:textId="77777777" w:rsidTr="000E366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95F8E7B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Variáveis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1E9EEEE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6801008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B2" w:rsidRPr="007366B2" w14:paraId="0575DCAE" w14:textId="77777777" w:rsidTr="000E3662">
        <w:trPr>
          <w:jc w:val="center"/>
        </w:trPr>
        <w:tc>
          <w:tcPr>
            <w:tcW w:w="0" w:type="auto"/>
          </w:tcPr>
          <w:p w14:paraId="4854C07E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Idade (anos)</w:t>
            </w:r>
          </w:p>
        </w:tc>
        <w:tc>
          <w:tcPr>
            <w:tcW w:w="0" w:type="auto"/>
          </w:tcPr>
          <w:p w14:paraId="76698BCB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Média/DP</w:t>
            </w:r>
          </w:p>
        </w:tc>
        <w:tc>
          <w:tcPr>
            <w:tcW w:w="0" w:type="auto"/>
          </w:tcPr>
          <w:p w14:paraId="4A24EBC6" w14:textId="51D9E37F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0E3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±17,</w:t>
            </w:r>
            <w:r w:rsidR="000E3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6B2" w:rsidRPr="007366B2" w14:paraId="6F72755C" w14:textId="77777777" w:rsidTr="000E3662">
        <w:trPr>
          <w:jc w:val="center"/>
        </w:trPr>
        <w:tc>
          <w:tcPr>
            <w:tcW w:w="0" w:type="auto"/>
          </w:tcPr>
          <w:p w14:paraId="159FB935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Faixa etária – n; %</w:t>
            </w:r>
          </w:p>
          <w:p w14:paraId="2B90F05C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 Adultos</w:t>
            </w:r>
          </w:p>
          <w:p w14:paraId="7261C58C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 Idosos</w:t>
            </w:r>
          </w:p>
        </w:tc>
        <w:tc>
          <w:tcPr>
            <w:tcW w:w="0" w:type="auto"/>
          </w:tcPr>
          <w:p w14:paraId="2BE47AAE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318F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  <w:p w14:paraId="67D13EAC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</w:tcPr>
          <w:p w14:paraId="615E32E9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FA18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14:paraId="602E68AC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7366B2" w:rsidRPr="007366B2" w14:paraId="0D1A1B88" w14:textId="77777777" w:rsidTr="000E3662">
        <w:trPr>
          <w:jc w:val="center"/>
        </w:trPr>
        <w:tc>
          <w:tcPr>
            <w:tcW w:w="0" w:type="auto"/>
          </w:tcPr>
          <w:p w14:paraId="150D3353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Sexo – n; %</w:t>
            </w:r>
          </w:p>
          <w:p w14:paraId="3676B605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 Feminino</w:t>
            </w:r>
          </w:p>
          <w:p w14:paraId="0331A082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 Masculino</w:t>
            </w:r>
          </w:p>
        </w:tc>
        <w:tc>
          <w:tcPr>
            <w:tcW w:w="0" w:type="auto"/>
          </w:tcPr>
          <w:p w14:paraId="21E741AB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EF791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  <w:p w14:paraId="01FC5A3C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</w:tcPr>
          <w:p w14:paraId="491E5A22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95E2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  <w:p w14:paraId="0FA6CD2E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7366B2" w:rsidRPr="007366B2" w14:paraId="15B3F3B7" w14:textId="77777777" w:rsidTr="000E3662">
        <w:trPr>
          <w:jc w:val="center"/>
        </w:trPr>
        <w:tc>
          <w:tcPr>
            <w:tcW w:w="0" w:type="auto"/>
          </w:tcPr>
          <w:p w14:paraId="08DD2F89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Dias de sobrevida</w:t>
            </w:r>
          </w:p>
        </w:tc>
        <w:tc>
          <w:tcPr>
            <w:tcW w:w="0" w:type="auto"/>
          </w:tcPr>
          <w:p w14:paraId="28754B40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Mediana (mínimo e máximo)</w:t>
            </w:r>
          </w:p>
        </w:tc>
        <w:tc>
          <w:tcPr>
            <w:tcW w:w="0" w:type="auto"/>
          </w:tcPr>
          <w:p w14:paraId="36D49DBC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180 (1-4200)</w:t>
            </w:r>
          </w:p>
        </w:tc>
      </w:tr>
      <w:tr w:rsidR="007366B2" w:rsidRPr="007366B2" w14:paraId="0E57D639" w14:textId="77777777" w:rsidTr="000E3662">
        <w:trPr>
          <w:jc w:val="center"/>
        </w:trPr>
        <w:tc>
          <w:tcPr>
            <w:tcW w:w="0" w:type="auto"/>
          </w:tcPr>
          <w:p w14:paraId="339972B9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Desfecho negativo – Óbito – n; %</w:t>
            </w:r>
          </w:p>
        </w:tc>
        <w:tc>
          <w:tcPr>
            <w:tcW w:w="0" w:type="auto"/>
          </w:tcPr>
          <w:p w14:paraId="20D2E260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14:paraId="55433512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7366B2" w:rsidRPr="007366B2" w14:paraId="496D0AB3" w14:textId="77777777" w:rsidTr="000E3662">
        <w:trPr>
          <w:jc w:val="center"/>
        </w:trPr>
        <w:tc>
          <w:tcPr>
            <w:tcW w:w="0" w:type="auto"/>
          </w:tcPr>
          <w:p w14:paraId="5AC204A6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IMC – Inicial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n; % </w:t>
            </w:r>
          </w:p>
          <w:p w14:paraId="60393A21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Baixo peso</w:t>
            </w:r>
          </w:p>
          <w:p w14:paraId="0E77FE6D" w14:textId="77777777" w:rsidR="000E3662" w:rsidRDefault="007366B2" w:rsidP="00C1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Eutrofia/</w:t>
            </w:r>
          </w:p>
          <w:p w14:paraId="2C68476F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sobrepeso</w:t>
            </w:r>
          </w:p>
        </w:tc>
        <w:tc>
          <w:tcPr>
            <w:tcW w:w="0" w:type="auto"/>
          </w:tcPr>
          <w:p w14:paraId="37892AC4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A78F2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14:paraId="723EAA49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</w:tcPr>
          <w:p w14:paraId="6917B292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7536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  <w:p w14:paraId="70DF8137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7366B2" w:rsidRPr="007366B2" w14:paraId="4D08773D" w14:textId="77777777" w:rsidTr="000E366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7404845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IMC – Final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n; %</w:t>
            </w:r>
          </w:p>
          <w:p w14:paraId="782177B3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Baixo peso</w:t>
            </w:r>
          </w:p>
          <w:p w14:paraId="36F9F8F3" w14:textId="77777777" w:rsidR="007366B2" w:rsidRPr="007366B2" w:rsidRDefault="007366B2" w:rsidP="00C153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Eutrofia/sobrepeso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D063E9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5AF20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  <w:p w14:paraId="086C0B10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F10D46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1391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  <w:p w14:paraId="5BD6730C" w14:textId="77777777" w:rsidR="007366B2" w:rsidRPr="007366B2" w:rsidRDefault="007366B2" w:rsidP="00C153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</w:tbl>
    <w:p w14:paraId="58D33DDE" w14:textId="77777777" w:rsidR="007366B2" w:rsidRPr="007366B2" w:rsidRDefault="007366B2" w:rsidP="0073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6B2">
        <w:rPr>
          <w:rFonts w:ascii="Times New Roman" w:hAnsi="Times New Roman" w:cs="Times New Roman"/>
          <w:sz w:val="20"/>
          <w:szCs w:val="20"/>
        </w:rPr>
        <w:t xml:space="preserve">Nota: IMC: índice de massa corporal; n: número amostral; %: percentual; DP: desvio-padrão. </w:t>
      </w:r>
    </w:p>
    <w:p w14:paraId="3AF95E44" w14:textId="77777777" w:rsidR="007366B2" w:rsidRPr="007366B2" w:rsidRDefault="007366B2" w:rsidP="007366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66B2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366B2">
        <w:rPr>
          <w:rFonts w:ascii="Times New Roman" w:hAnsi="Times New Roman" w:cs="Times New Roman"/>
          <w:sz w:val="20"/>
          <w:szCs w:val="20"/>
        </w:rPr>
        <w:t>47 pacientes faltantes</w:t>
      </w:r>
    </w:p>
    <w:p w14:paraId="0BA230C5" w14:textId="77777777" w:rsidR="007366B2" w:rsidRPr="007366B2" w:rsidRDefault="007366B2" w:rsidP="007366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66B2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7366B2">
        <w:rPr>
          <w:rFonts w:ascii="Times New Roman" w:hAnsi="Times New Roman" w:cs="Times New Roman"/>
          <w:sz w:val="20"/>
          <w:szCs w:val="20"/>
        </w:rPr>
        <w:t xml:space="preserve"> 587 pacientes faltantes</w:t>
      </w:r>
    </w:p>
    <w:p w14:paraId="6835B5C7" w14:textId="77777777" w:rsidR="007366B2" w:rsidRPr="007366B2" w:rsidRDefault="007366B2" w:rsidP="007366B2">
      <w:pPr>
        <w:rPr>
          <w:rFonts w:ascii="Times New Roman" w:hAnsi="Times New Roman" w:cs="Times New Roman"/>
          <w:sz w:val="24"/>
          <w:szCs w:val="24"/>
        </w:rPr>
      </w:pPr>
    </w:p>
    <w:p w14:paraId="6F8B86AE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ab/>
        <w:t>Conforme apresentado na tabela 2, quando comparados os desfechos positivos e negativos dos pacientes em TND foi observado fator de risco para desfechos positivos quando o paciente permanecia mais de 200 dias na TND (RR=1,11; IC=1,00-1,25; p&lt;0,05), quando tinha uma classificação de baixo peso no início da terapia (RR= 1,29; IC= 1,16-1,43; p&lt;0,05) e também no final (RR=1,60; IC=1,32-1,92; p&lt;0,05). Entretanto, houveram fatores de proteção quando o paciente era idoso (RR=0,71; IC=0,64-0,79; p&lt;0,05) e quando não havia sido reinternados mais que duas vezes (RR=0,49; IC=0,45-0,53; p&lt;0,05).</w:t>
      </w:r>
    </w:p>
    <w:p w14:paraId="56BAB6EC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8635C" w14:textId="77777777" w:rsidR="007366B2" w:rsidRPr="007366B2" w:rsidRDefault="007366B2" w:rsidP="007366B2">
      <w:pPr>
        <w:jc w:val="both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Tabela 2 –</w:t>
      </w:r>
      <w:r w:rsidRPr="007366B2">
        <w:rPr>
          <w:rFonts w:ascii="Times New Roman" w:hAnsi="Times New Roman" w:cs="Times New Roman"/>
          <w:sz w:val="24"/>
          <w:szCs w:val="24"/>
        </w:rPr>
        <w:t xml:space="preserve"> Risco relativo da comparação entre desfechos comparados a faixa etária, sobrevida, sexo, estado nutricional e hospitalizações em terapia nutricional domiciliar.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706"/>
        <w:gridCol w:w="1878"/>
        <w:gridCol w:w="1907"/>
        <w:gridCol w:w="2014"/>
        <w:gridCol w:w="993"/>
      </w:tblGrid>
      <w:tr w:rsidR="007366B2" w:rsidRPr="007366B2" w14:paraId="3673F006" w14:textId="77777777" w:rsidTr="000E366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D8A247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D6602C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Desfechos positivos (n=431)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3464C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Desfechos negativos (n=800)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1D0B1C9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RR – IC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E5538E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7366B2" w:rsidRPr="007366B2" w14:paraId="0C2E5A99" w14:textId="77777777" w:rsidTr="000E366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CBD951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Faixa etária – n (%)</w:t>
            </w:r>
          </w:p>
          <w:p w14:paraId="5F5CC8AC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Adultos</w:t>
            </w:r>
          </w:p>
          <w:p w14:paraId="058B5CEF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Idosos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78E642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65CF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193 (44,9)</w:t>
            </w:r>
          </w:p>
          <w:p w14:paraId="4DC9A4F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238 (55,1)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CB19EF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BD1E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200 (25,0)</w:t>
            </w:r>
          </w:p>
          <w:p w14:paraId="4F99F2D3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600 (75,0)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60057B1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230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FFF93F0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0,71 (0,64-0,79)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ADB5A92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366B2" w:rsidRPr="007366B2" w14:paraId="334EC7D3" w14:textId="77777777" w:rsidTr="000E366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95664F7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Sexo – n (%)</w:t>
            </w:r>
          </w:p>
          <w:p w14:paraId="326C3937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</w:p>
          <w:p w14:paraId="7CDBB284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Masculino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35C735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383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197 (45,8)</w:t>
            </w:r>
          </w:p>
          <w:p w14:paraId="21F3346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234 (54,2)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2E238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55F76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364 (45,5)</w:t>
            </w:r>
          </w:p>
          <w:p w14:paraId="79FC09E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436 (54,5)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5514F38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F71C3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4C1902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0,99 (0,92-1,08)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668536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124D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0,482</w:t>
            </w:r>
          </w:p>
        </w:tc>
      </w:tr>
      <w:tr w:rsidR="007366B2" w:rsidRPr="007366B2" w14:paraId="316D5157" w14:textId="77777777" w:rsidTr="000E366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54B7CD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Tempo de sobrevida (dias)</w:t>
            </w:r>
            <w:bookmarkStart w:id="3" w:name="_Hlk526755776"/>
            <w:r w:rsidRPr="007366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bookmarkEnd w:id="3"/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 (%)</w:t>
            </w:r>
          </w:p>
          <w:p w14:paraId="7D1C1E9E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3-200 dias</w:t>
            </w:r>
          </w:p>
          <w:p w14:paraId="3ACF8A03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≥ 200 dias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EE5D3F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10A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BD8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149 (48,1)</w:t>
            </w:r>
          </w:p>
          <w:p w14:paraId="0B4F6666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161 (51,9)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1815EC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C16C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2190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232 (55,4)</w:t>
            </w:r>
          </w:p>
          <w:p w14:paraId="22475CB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227 (44,6)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26BCA84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096C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5ABE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D0CC09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1,11 (1,00-1,25)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7302659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FD32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0,044</w:t>
            </w:r>
          </w:p>
        </w:tc>
      </w:tr>
      <w:tr w:rsidR="007366B2" w:rsidRPr="007366B2" w14:paraId="6274FAF9" w14:textId="77777777" w:rsidTr="000E366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D638EB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IMC – Inicial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 (%) </w:t>
            </w:r>
          </w:p>
          <w:p w14:paraId="3A525FB2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Baixo peso</w:t>
            </w:r>
          </w:p>
          <w:p w14:paraId="052DFEB8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Eutrofia/sobrepeso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917E2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1AFE6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250 (60,0)</w:t>
            </w:r>
          </w:p>
          <w:p w14:paraId="6DE615E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167 (40,0)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E3D2E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DDAF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571 (74,5)</w:t>
            </w:r>
          </w:p>
          <w:p w14:paraId="15668F7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195 (25,5)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1A9AE91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D639C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1,29 (1,16-1,43)</w:t>
            </w:r>
          </w:p>
          <w:p w14:paraId="0513375C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3F762C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6734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366B2" w:rsidRPr="007366B2" w14:paraId="643EED2C" w14:textId="77777777" w:rsidTr="000E366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CD0E6E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IMC – Final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 (%)</w:t>
            </w:r>
          </w:p>
          <w:p w14:paraId="21AF61FD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Baixo peso</w:t>
            </w:r>
          </w:p>
          <w:p w14:paraId="604EDA16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Eutrofia/sobrepeso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115A2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C740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151 (61,9)</w:t>
            </w:r>
          </w:p>
          <w:p w14:paraId="68BC96B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 (38,1)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EF110C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DCB0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329 (82,5)</w:t>
            </w:r>
          </w:p>
          <w:p w14:paraId="1212CB4D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(17,5)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760DF0D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0D7F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1,60 (1,32-1,92)</w:t>
            </w:r>
          </w:p>
          <w:p w14:paraId="2E5B8D3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944524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5B149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366B2" w:rsidRPr="007366B2" w14:paraId="44B73C3E" w14:textId="77777777" w:rsidTr="000E366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1D9EE7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>Número de hospitalizações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</w:t>
            </w:r>
            <w:r w:rsidRPr="00736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 (%)</w:t>
            </w:r>
          </w:p>
          <w:p w14:paraId="5465EFAA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 xml:space="preserve">  0 – 2</w:t>
            </w:r>
          </w:p>
          <w:p w14:paraId="65A82E3D" w14:textId="4AFB4F8B" w:rsidR="007366B2" w:rsidRPr="007366B2" w:rsidRDefault="00C15326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6B2" w:rsidRPr="007366B2">
              <w:rPr>
                <w:rFonts w:ascii="Times New Roman" w:hAnsi="Times New Roman" w:cs="Times New Roman"/>
                <w:sz w:val="24"/>
                <w:szCs w:val="24"/>
              </w:rPr>
              <w:t>&gt;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02C01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F00D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794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93E14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302 (100,0)</w:t>
            </w:r>
          </w:p>
          <w:p w14:paraId="662F694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E74EE4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A693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CAB4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73AED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290 (81,7)</w:t>
            </w:r>
          </w:p>
          <w:p w14:paraId="36BC604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65 (18,3)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14:paraId="73C656E3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2D2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70E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56D84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26760032"/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0,49 (0,45-0,53)</w:t>
            </w:r>
          </w:p>
          <w:bookmarkEnd w:id="4"/>
          <w:p w14:paraId="55A736E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AF1D62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112F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0AF0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B2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14:paraId="448EDFE1" w14:textId="77777777" w:rsidR="007366B2" w:rsidRPr="007366B2" w:rsidRDefault="007366B2" w:rsidP="007366B2">
      <w:pPr>
        <w:jc w:val="both"/>
        <w:rPr>
          <w:rFonts w:ascii="Times New Roman" w:hAnsi="Times New Roman" w:cs="Times New Roman"/>
          <w:sz w:val="20"/>
        </w:rPr>
      </w:pPr>
      <w:r w:rsidRPr="007366B2">
        <w:rPr>
          <w:rFonts w:ascii="Times New Roman" w:hAnsi="Times New Roman" w:cs="Times New Roman"/>
          <w:sz w:val="20"/>
        </w:rPr>
        <w:t>Nota: IMC: índice de massa corporal; n: número amostral; %: percentual; OR: oddsratio; IC: Intervalo de confiança;</w:t>
      </w:r>
      <w:r w:rsidRPr="007366B2">
        <w:rPr>
          <w:rFonts w:ascii="Times New Roman" w:hAnsi="Times New Roman" w:cs="Times New Roman"/>
          <w:sz w:val="20"/>
          <w:vertAlign w:val="superscript"/>
        </w:rPr>
        <w:t xml:space="preserve"> a</w:t>
      </w:r>
      <w:r w:rsidRPr="007366B2">
        <w:rPr>
          <w:rFonts w:ascii="Times New Roman" w:hAnsi="Times New Roman" w:cs="Times New Roman"/>
          <w:sz w:val="20"/>
        </w:rPr>
        <w:t xml:space="preserve"> = 422 dados faltantes; </w:t>
      </w:r>
      <w:r w:rsidRPr="007366B2">
        <w:rPr>
          <w:rFonts w:ascii="Times New Roman" w:hAnsi="Times New Roman" w:cs="Times New Roman"/>
          <w:sz w:val="20"/>
          <w:vertAlign w:val="superscript"/>
        </w:rPr>
        <w:t>b</w:t>
      </w:r>
      <w:r w:rsidRPr="007366B2">
        <w:rPr>
          <w:rFonts w:ascii="Times New Roman" w:hAnsi="Times New Roman" w:cs="Times New Roman"/>
          <w:sz w:val="20"/>
        </w:rPr>
        <w:t xml:space="preserve"> = 48 dados faltantes; </w:t>
      </w:r>
      <w:r w:rsidRPr="007366B2">
        <w:rPr>
          <w:rFonts w:ascii="Times New Roman" w:hAnsi="Times New Roman" w:cs="Times New Roman"/>
          <w:sz w:val="20"/>
          <w:vertAlign w:val="superscript"/>
        </w:rPr>
        <w:t>c</w:t>
      </w:r>
      <w:r w:rsidRPr="007366B2">
        <w:rPr>
          <w:rFonts w:ascii="Times New Roman" w:hAnsi="Times New Roman" w:cs="Times New Roman"/>
          <w:sz w:val="20"/>
        </w:rPr>
        <w:t xml:space="preserve"> = 588 dados faltantes; d= 574 dados faltantes</w:t>
      </w:r>
    </w:p>
    <w:p w14:paraId="382F8DE9" w14:textId="77777777" w:rsidR="007366B2" w:rsidRPr="007366B2" w:rsidRDefault="007366B2" w:rsidP="007366B2">
      <w:pPr>
        <w:jc w:val="both"/>
        <w:rPr>
          <w:rFonts w:ascii="Times New Roman" w:hAnsi="Times New Roman" w:cs="Times New Roman"/>
          <w:sz w:val="20"/>
        </w:rPr>
      </w:pPr>
    </w:p>
    <w:p w14:paraId="1363EEF3" w14:textId="77777777" w:rsidR="007366B2" w:rsidRPr="007366B2" w:rsidRDefault="007366B2" w:rsidP="007366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7366B2">
        <w:rPr>
          <w:rFonts w:ascii="Times New Roman" w:hAnsi="Times New Roman" w:cs="Times New Roman"/>
          <w:sz w:val="24"/>
        </w:rPr>
        <w:tab/>
        <w:t xml:space="preserve">De acordo com o exposto nas figuras 1 e 2, pode-se observar que houve um percentual maior na classificação de baixo peso em detrimento à eutrofia/sobrepeso. O maior percentual de baixo peso inicialmente foi demonstrado entre os idosos (76,2%) (figura 1). O mesmo ocorreu na última avaliação registrada, os idosos obtiveram 81,4% de baixo peso (figura 2). Importante ressaltar que os quatro grupamentos alcançaram percentuais acima se comparados à primeira avaliação nutricional. </w:t>
      </w:r>
    </w:p>
    <w:p w14:paraId="7BD2A8CE" w14:textId="77777777" w:rsidR="007366B2" w:rsidRPr="007366B2" w:rsidRDefault="007366B2" w:rsidP="007366B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A2E071" w14:textId="77777777" w:rsidR="007366B2" w:rsidRPr="007366B2" w:rsidRDefault="007366B2" w:rsidP="007366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366B2">
        <w:rPr>
          <w:rFonts w:ascii="Times New Roman" w:hAnsi="Times New Roman" w:cs="Times New Roman"/>
          <w:noProof/>
        </w:rPr>
        <w:drawing>
          <wp:inline distT="0" distB="0" distL="0" distR="0" wp14:anchorId="1024A1D1" wp14:editId="68608805">
            <wp:extent cx="4572000" cy="2743200"/>
            <wp:effectExtent l="0" t="0" r="0" b="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50CE1A07-0AC6-48C7-BD95-0C3D5E9332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28947C3" w14:textId="77777777" w:rsidR="007366B2" w:rsidRPr="007366B2" w:rsidRDefault="007366B2" w:rsidP="007366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366B2">
        <w:rPr>
          <w:rFonts w:ascii="Times New Roman" w:hAnsi="Times New Roman" w:cs="Times New Roman"/>
          <w:b/>
          <w:sz w:val="24"/>
        </w:rPr>
        <w:t xml:space="preserve">Fig. 1 – </w:t>
      </w:r>
      <w:bookmarkStart w:id="5" w:name="_Hlk527019390"/>
      <w:r w:rsidRPr="007366B2">
        <w:rPr>
          <w:rFonts w:ascii="Times New Roman" w:hAnsi="Times New Roman" w:cs="Times New Roman"/>
          <w:sz w:val="24"/>
        </w:rPr>
        <w:t xml:space="preserve">Percentuais de classificação de índice de massa corporal no </w:t>
      </w:r>
      <w:r w:rsidRPr="000E3662">
        <w:rPr>
          <w:rFonts w:ascii="Times New Roman" w:hAnsi="Times New Roman" w:cs="Times New Roman"/>
          <w:color w:val="538135" w:themeColor="accent6" w:themeShade="BF"/>
          <w:sz w:val="24"/>
        </w:rPr>
        <w:t>início</w:t>
      </w:r>
      <w:r w:rsidR="000E3662" w:rsidRPr="000E3662">
        <w:rPr>
          <w:rFonts w:ascii="Times New Roman" w:hAnsi="Times New Roman" w:cs="Times New Roman"/>
          <w:color w:val="538135" w:themeColor="accent6" w:themeShade="BF"/>
          <w:sz w:val="24"/>
        </w:rPr>
        <w:t xml:space="preserve"> e fim</w:t>
      </w:r>
      <w:r w:rsidR="000E3662">
        <w:rPr>
          <w:rFonts w:ascii="Times New Roman" w:hAnsi="Times New Roman" w:cs="Times New Roman"/>
          <w:sz w:val="24"/>
        </w:rPr>
        <w:t xml:space="preserve"> </w:t>
      </w:r>
      <w:r w:rsidRPr="007366B2">
        <w:rPr>
          <w:rFonts w:ascii="Times New Roman" w:hAnsi="Times New Roman" w:cs="Times New Roman"/>
          <w:sz w:val="24"/>
        </w:rPr>
        <w:t xml:space="preserve"> da terapia nutricional domiciliar.</w:t>
      </w:r>
    </w:p>
    <w:bookmarkEnd w:id="5"/>
    <w:p w14:paraId="3792CF38" w14:textId="77777777" w:rsidR="007366B2" w:rsidRPr="007366B2" w:rsidRDefault="007366B2" w:rsidP="007366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162466D8" w14:textId="77777777" w:rsidR="007366B2" w:rsidRPr="007366B2" w:rsidRDefault="007366B2" w:rsidP="007366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366B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A4F1164" wp14:editId="265B008C">
            <wp:extent cx="45720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B7B7BA8D-48EF-41A4-8472-2176909AF2A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D8A3B99" w14:textId="77777777" w:rsidR="007366B2" w:rsidRPr="007366B2" w:rsidRDefault="007366B2" w:rsidP="007366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7366B2">
        <w:rPr>
          <w:rFonts w:ascii="Times New Roman" w:hAnsi="Times New Roman" w:cs="Times New Roman"/>
          <w:b/>
          <w:sz w:val="24"/>
        </w:rPr>
        <w:t xml:space="preserve">Fig. 1 – </w:t>
      </w:r>
      <w:r w:rsidRPr="007366B2">
        <w:rPr>
          <w:rFonts w:ascii="Times New Roman" w:hAnsi="Times New Roman" w:cs="Times New Roman"/>
          <w:sz w:val="24"/>
        </w:rPr>
        <w:t>Percentuais de classificação de índice de massa corporal no final da terapia nutricional domiciliar.</w:t>
      </w:r>
    </w:p>
    <w:p w14:paraId="0B1D08DE" w14:textId="77777777" w:rsidR="007366B2" w:rsidRPr="007366B2" w:rsidRDefault="007366B2" w:rsidP="007366B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73E9ED89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66B2">
        <w:rPr>
          <w:rFonts w:ascii="Times New Roman" w:hAnsi="Times New Roman" w:cs="Times New Roman"/>
          <w:sz w:val="24"/>
        </w:rPr>
        <w:tab/>
        <w:t xml:space="preserve">Conforme demonstrado anteriormente, adultos e idosos atingiram valores e classificações de IMC divergentes. Quando comparados os valores da primeira e última avaliação houve uma significância entre as duas faixas etárias, tantos nas médias quanto nas classificações de estado nutricional (p&lt;0,05). Apenas no valor de CB para os idosos não foi possível observar diferença estatística (tabela 3). </w:t>
      </w:r>
    </w:p>
    <w:p w14:paraId="704A8625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6" w:name="_Hlk527019658"/>
    </w:p>
    <w:p w14:paraId="76093080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66B2">
        <w:rPr>
          <w:rFonts w:ascii="Times New Roman" w:hAnsi="Times New Roman" w:cs="Times New Roman"/>
          <w:b/>
          <w:sz w:val="24"/>
        </w:rPr>
        <w:t>Tabela 3 –</w:t>
      </w:r>
      <w:r w:rsidRPr="007366B2">
        <w:rPr>
          <w:rFonts w:ascii="Times New Roman" w:hAnsi="Times New Roman" w:cs="Times New Roman"/>
          <w:sz w:val="24"/>
        </w:rPr>
        <w:t xml:space="preserve"> Comparação do estado nutricional de adultos e idosos no início e na última avaliação na terapia nutricional domiciliar.</w:t>
      </w:r>
    </w:p>
    <w:bookmarkEnd w:id="6"/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2312"/>
        <w:gridCol w:w="1472"/>
        <w:gridCol w:w="1359"/>
        <w:gridCol w:w="910"/>
        <w:gridCol w:w="1345"/>
        <w:gridCol w:w="1457"/>
        <w:gridCol w:w="1068"/>
      </w:tblGrid>
      <w:tr w:rsidR="007366B2" w:rsidRPr="007366B2" w14:paraId="7C19D87B" w14:textId="77777777" w:rsidTr="000E3662">
        <w:tc>
          <w:tcPr>
            <w:tcW w:w="2311" w:type="dxa"/>
            <w:tcBorders>
              <w:top w:val="single" w:sz="4" w:space="0" w:color="auto"/>
            </w:tcBorders>
          </w:tcPr>
          <w:p w14:paraId="59969077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3109B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Adultos (n=394)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4E54D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Idosos (n= 837)</w:t>
            </w:r>
          </w:p>
        </w:tc>
      </w:tr>
      <w:tr w:rsidR="007366B2" w:rsidRPr="007366B2" w14:paraId="13EB7C68" w14:textId="77777777" w:rsidTr="000E3662">
        <w:tc>
          <w:tcPr>
            <w:tcW w:w="2311" w:type="dxa"/>
            <w:tcBorders>
              <w:bottom w:val="single" w:sz="4" w:space="0" w:color="auto"/>
            </w:tcBorders>
          </w:tcPr>
          <w:p w14:paraId="0692D236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Variáveis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499707E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Início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17222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8607F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EC4163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Início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5E951E59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Final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19BA1CB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7366B2">
              <w:rPr>
                <w:rFonts w:ascii="Times New Roman" w:hAnsi="Times New Roman" w:cs="Times New Roman"/>
                <w:b/>
                <w:i/>
                <w:sz w:val="24"/>
              </w:rPr>
              <w:t>P</w:t>
            </w:r>
          </w:p>
        </w:tc>
      </w:tr>
      <w:tr w:rsidR="007366B2" w:rsidRPr="007366B2" w14:paraId="4BBBC585" w14:textId="77777777" w:rsidTr="000E3662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4C106DE8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IMC (Kg/m²)</w:t>
            </w:r>
            <w:r w:rsidRPr="007366B2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  <w:r w:rsidRPr="007366B2">
              <w:rPr>
                <w:rFonts w:ascii="Times New Roman" w:hAnsi="Times New Roman" w:cs="Times New Roman"/>
                <w:sz w:val="24"/>
              </w:rPr>
              <w:t xml:space="preserve"> -Média/DP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D554C1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18,55±4,32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554DB9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17,82±4,43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F93889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0,001*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EC3FF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19,05±4,67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075F5754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18,02±4,53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6FA5EE8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0,001*</w:t>
            </w:r>
          </w:p>
        </w:tc>
      </w:tr>
      <w:tr w:rsidR="007366B2" w:rsidRPr="007366B2" w14:paraId="6A9A11FF" w14:textId="77777777" w:rsidTr="000E3662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7D95667D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 xml:space="preserve">Baixo peso - n (%)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789CE2E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213 (54,1)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B7B5D2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135 (61,6)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C6FD7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0,04**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F6F009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609 (76,2)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6636461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346 (81,4)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0E0ED8A6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0,05**</w:t>
            </w:r>
          </w:p>
        </w:tc>
      </w:tr>
      <w:tr w:rsidR="007366B2" w:rsidRPr="007366B2" w14:paraId="3021CE93" w14:textId="77777777" w:rsidTr="000E3662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33B15E98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Eutrofia/</w:t>
            </w:r>
            <w:r w:rsidRPr="00C15326">
              <w:rPr>
                <w:rFonts w:ascii="Times New Roman" w:hAnsi="Times New Roman" w:cs="Times New Roman"/>
                <w:color w:val="000000" w:themeColor="text1"/>
                <w:sz w:val="24"/>
              </w:rPr>
              <w:t>sobrepeso</w:t>
            </w:r>
            <w:r w:rsidRPr="000E3662">
              <w:rPr>
                <w:rFonts w:ascii="Times New Roman" w:hAnsi="Times New Roman" w:cs="Times New Roman"/>
                <w:color w:val="538135" w:themeColor="accent6" w:themeShade="BF"/>
                <w:sz w:val="24"/>
              </w:rPr>
              <w:t>-</w:t>
            </w:r>
            <w:r w:rsidRPr="007366B2">
              <w:rPr>
                <w:rFonts w:ascii="Times New Roman" w:hAnsi="Times New Roman" w:cs="Times New Roman"/>
                <w:sz w:val="24"/>
              </w:rPr>
              <w:t xml:space="preserve"> n (%)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686C9D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172 (44,7)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F9B755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84 (38,4)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FB389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0,03**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1B76E8B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190 (23,8)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518BB57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79 (18,6)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40D7C15C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0,001**</w:t>
            </w:r>
          </w:p>
        </w:tc>
      </w:tr>
      <w:tr w:rsidR="007366B2" w:rsidRPr="007366B2" w14:paraId="4F17A9F2" w14:textId="77777777" w:rsidTr="000E3662"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1BFEA350" w14:textId="77777777" w:rsidR="007366B2" w:rsidRPr="007366B2" w:rsidRDefault="007366B2" w:rsidP="000E366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CB (cm)</w:t>
            </w:r>
            <w:r w:rsidRPr="007366B2">
              <w:rPr>
                <w:rFonts w:ascii="Times New Roman" w:hAnsi="Times New Roman" w:cs="Times New Roman"/>
                <w:sz w:val="24"/>
                <w:vertAlign w:val="superscript"/>
              </w:rPr>
              <w:t>b</w:t>
            </w:r>
            <w:r w:rsidRPr="007366B2">
              <w:rPr>
                <w:rFonts w:ascii="Times New Roman" w:hAnsi="Times New Roman" w:cs="Times New Roman"/>
                <w:sz w:val="24"/>
              </w:rPr>
              <w:t>-Média/DP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12CBF999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23,03±3,88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332BA3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22,71±4,32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1DE9E0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0,001*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A21229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23,85±4,45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669F9C4A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23,22±4,50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14:paraId="143BA438" w14:textId="77777777" w:rsidR="007366B2" w:rsidRPr="007366B2" w:rsidRDefault="007366B2" w:rsidP="000E3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66B2">
              <w:rPr>
                <w:rFonts w:ascii="Times New Roman" w:hAnsi="Times New Roman" w:cs="Times New Roman"/>
                <w:sz w:val="24"/>
              </w:rPr>
              <w:t>0,302*</w:t>
            </w:r>
          </w:p>
        </w:tc>
      </w:tr>
    </w:tbl>
    <w:p w14:paraId="59DF8C31" w14:textId="77777777" w:rsidR="007366B2" w:rsidRPr="007366B2" w:rsidRDefault="007366B2" w:rsidP="007366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66B2">
        <w:rPr>
          <w:rFonts w:ascii="Times New Roman" w:hAnsi="Times New Roman" w:cs="Times New Roman"/>
          <w:sz w:val="20"/>
        </w:rPr>
        <w:t>Nota: IMC: índice de massa corporal; CB: circunferência do braço.</w:t>
      </w:r>
    </w:p>
    <w:p w14:paraId="7012277D" w14:textId="77777777" w:rsidR="007366B2" w:rsidRPr="007366B2" w:rsidRDefault="007366B2" w:rsidP="007366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66B2">
        <w:rPr>
          <w:rFonts w:ascii="Times New Roman" w:hAnsi="Times New Roman" w:cs="Times New Roman"/>
          <w:sz w:val="20"/>
        </w:rPr>
        <w:t>* Teste T pareado; ** Wilcoxon.</w:t>
      </w:r>
    </w:p>
    <w:p w14:paraId="0381D1A3" w14:textId="77777777" w:rsidR="007366B2" w:rsidRPr="007366B2" w:rsidRDefault="007366B2" w:rsidP="007366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66B2">
        <w:rPr>
          <w:rFonts w:ascii="Times New Roman" w:hAnsi="Times New Roman" w:cs="Times New Roman"/>
          <w:sz w:val="20"/>
        </w:rPr>
        <w:t>Na linha da classificação baixo peso foram considerados magreza e desnutrição pelo IMC; na linha sobrepeso foram considerados os indivíduos com obesidade e com excesso de peso para os idosos.</w:t>
      </w:r>
    </w:p>
    <w:p w14:paraId="26540AFF" w14:textId="77777777" w:rsidR="007366B2" w:rsidRPr="007366B2" w:rsidRDefault="007366B2" w:rsidP="007366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66B2">
        <w:rPr>
          <w:rFonts w:ascii="Times New Roman" w:hAnsi="Times New Roman" w:cs="Times New Roman"/>
          <w:sz w:val="20"/>
          <w:vertAlign w:val="superscript"/>
        </w:rPr>
        <w:t>a</w:t>
      </w:r>
      <w:r w:rsidRPr="007366B2">
        <w:rPr>
          <w:rFonts w:ascii="Times New Roman" w:hAnsi="Times New Roman" w:cs="Times New Roman"/>
          <w:sz w:val="20"/>
        </w:rPr>
        <w:t xml:space="preserve">= 48 dados faltantes no inicio e 588 no final; </w:t>
      </w:r>
      <w:r w:rsidRPr="007366B2">
        <w:rPr>
          <w:rFonts w:ascii="Times New Roman" w:hAnsi="Times New Roman" w:cs="Times New Roman"/>
          <w:sz w:val="20"/>
          <w:vertAlign w:val="superscript"/>
        </w:rPr>
        <w:t>b</w:t>
      </w:r>
      <w:r w:rsidRPr="007366B2">
        <w:rPr>
          <w:rFonts w:ascii="Times New Roman" w:hAnsi="Times New Roman" w:cs="Times New Roman"/>
          <w:sz w:val="20"/>
        </w:rPr>
        <w:t xml:space="preserve">=206 dados faltantes no início e 672 no final. </w:t>
      </w:r>
    </w:p>
    <w:p w14:paraId="013695A2" w14:textId="77777777" w:rsidR="007366B2" w:rsidRPr="007366B2" w:rsidRDefault="007366B2" w:rsidP="007366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61715C9" w14:textId="77777777" w:rsidR="007366B2" w:rsidRPr="007366B2" w:rsidRDefault="007366B2" w:rsidP="007366B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5EAB80C2" w14:textId="77777777" w:rsidR="007366B2" w:rsidRPr="007366B2" w:rsidRDefault="007366B2" w:rsidP="007366B2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Discussão</w:t>
      </w:r>
    </w:p>
    <w:p w14:paraId="7477756B" w14:textId="03482571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avaliação e acompanhamento do estado nutricional é importante em todas as fases do ciclo da vida. Na TND, </w:t>
      </w:r>
      <w:r w:rsidRPr="00A172B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com</w:t>
      </w:r>
      <w:r w:rsidR="00A172B6" w:rsidRPr="00A172B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o</w:t>
      </w:r>
      <w:r w:rsidRPr="00A172B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="00A172B6" w:rsidRPr="00A172B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existe maior número de </w:t>
      </w:r>
      <w:r w:rsidRPr="00A172B6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idosos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17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identificação da </w:t>
      </w:r>
      <w:r w:rsidR="00A172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desnutrição 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é essencial para</w:t>
      </w:r>
      <w:r w:rsidR="00A172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determinação de estratégias do cu</w:t>
      </w:r>
      <w:r w:rsidR="00C15326">
        <w:rPr>
          <w:rFonts w:ascii="Times New Roman" w:hAnsi="Times New Roman" w:cs="Times New Roman"/>
          <w:color w:val="000000" w:themeColor="text1"/>
          <w:sz w:val="24"/>
          <w:szCs w:val="24"/>
        </w:rPr>
        <w:t>idado dietético desta população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Nesse estudo foi demonstrado o alto percentual de baixo peso, o que pode comprometer o prognóstico clínico e a qualidade de vida do paciente. </w:t>
      </w:r>
    </w:p>
    <w:p w14:paraId="25E0716D" w14:textId="66509F29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Vários estudos postulam a necessidade de estabelecimento </w:t>
      </w:r>
      <w:r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A172B6"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monitoramento da </w:t>
      </w:r>
      <w:r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>evolução do estado nutricional no domicílio, especialmente em pacientes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doenças crônicas [2,3,4</w:t>
      </w:r>
      <w:r w:rsidRPr="007366B2">
        <w:rPr>
          <w:rFonts w:ascii="Times New Roman" w:hAnsi="Times New Roman" w:cs="Times New Roman"/>
          <w:sz w:val="24"/>
          <w:szCs w:val="24"/>
        </w:rPr>
        <w:t>]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. Ademais, o presente estudo demonstrou interação entre o óbito (desfecho negativo) com o estado nutricional inicial e final na TND</w:t>
      </w:r>
      <w:r w:rsidR="00C15326">
        <w:rPr>
          <w:rFonts w:ascii="Times New Roman" w:hAnsi="Times New Roman" w:cs="Times New Roman"/>
          <w:color w:val="000000" w:themeColor="text1"/>
          <w:sz w:val="24"/>
          <w:szCs w:val="24"/>
        </w:rPr>
        <w:t>, especialmente nos pacientes que apresentaram baixo peso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 baixo peso está relacionado à maiores chances de um prognóstico ruim. Outros trabalhos demonstram um IMC acima do encontrado na presente pesquisa [2,5]. </w:t>
      </w:r>
    </w:p>
    <w:p w14:paraId="2E6C1746" w14:textId="69D64C85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Observou-se a piora do estado nutricional conforme a evolução </w:t>
      </w:r>
      <w:r w:rsidR="00C15326">
        <w:rPr>
          <w:rFonts w:ascii="Times New Roman" w:hAnsi="Times New Roman" w:cs="Times New Roman"/>
          <w:color w:val="000000" w:themeColor="text1"/>
          <w:sz w:val="24"/>
          <w:szCs w:val="24"/>
        </w:rPr>
        <w:t>e tempo de permanência n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TND, porém isso pode ser determinado </w:t>
      </w:r>
      <w:r w:rsidR="00C153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influenciado 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 doença apresentada pelo paciente, comorbidades, desequilíbrios dietéticos e </w:t>
      </w:r>
      <w:r w:rsidR="00C15326">
        <w:rPr>
          <w:rFonts w:ascii="Times New Roman" w:hAnsi="Times New Roman" w:cs="Times New Roman"/>
          <w:color w:val="000000" w:themeColor="text1"/>
          <w:sz w:val="24"/>
          <w:szCs w:val="24"/>
        </w:rPr>
        <w:t>bem como pel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a presença de cuidador. Ainda, a sarcopenia, síndrome que acomete naturalmente os idosos e intensifica com a doença e imobilidade pode estar associada a perda de peso nestes pacientes. Sabe-se que outro instrumento que pode ser utilizado para avaliação de desnutrição e risco nutricional na TND é a triagem nutricional, como demonstrado no trabalho de Shaw et al. [3] aonde essa foi associada, especialmente, ao estado nutricional com o diagnóstico clínico do paciente. Entretanto, a triagem não avalia desnutrição, mas sim classifica risco</w:t>
      </w:r>
      <w:r w:rsidR="00E61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E61915"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>aparecimento da mesma</w:t>
      </w:r>
      <w:r w:rsidRPr="00C153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72C">
        <w:rPr>
          <w:rFonts w:ascii="Times New Roman" w:hAnsi="Times New Roman" w:cs="Times New Roman"/>
          <w:color w:val="000000" w:themeColor="text1"/>
          <w:sz w:val="24"/>
          <w:szCs w:val="24"/>
        </w:rPr>
        <w:t>Assim, além da sarcopenia, é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preciso, avaliar a composição corporal, sabe-se que a redução de massa muscular pode estar relacionada ao desfecho negativo. No trabalho Taibo et al. [9], 94,5% dos pacientes estavam com alto risco de desnutrição. Em estudo similar, Klek et al. [5], no qual foi incluso vários grupos etários em que a média de idade foi 59 anos, foi um estudo multicêntrico na Polônia, demonstraram melhora do estado nutricional</w:t>
      </w:r>
      <w:r w:rsidR="00E3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longo da TND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, incluindo melhora dos parâmetros hematológicos: hematócrito, ureia, enzimas hepáticas e albumina sérica, além do aumento do peso e consequentemente do IMC.</w:t>
      </w:r>
    </w:p>
    <w:p w14:paraId="03C5A682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Luis et al. [4] em seu estudo demonstrou que quando os pacientes eram separados por grupo de TND (suplementação via oral vs. Terapia nutricional via sonda/ostomia), houve uma melhora nos dois grupos no inicio e no final da TND, tanto no peso, IMC e CB. Porém esse estudo teve uma duração aquém do presente estudo, a média da TND foi 97 dias, enquanto que aqui a mediana foi 180 dias. Esses resultados divergem do presente trabalho pois a maioria dos pacientes obteve uma piora dos resultados da avaliação do estado nutricional. </w:t>
      </w:r>
    </w:p>
    <w:p w14:paraId="5091870B" w14:textId="00AF20C1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Representantes de vários países publicaram o consenso sobre o diagnóstico de desnutrição. Foram estabelecidos cinco principais critérios classificados incluíram três critérios fenotípicos (perda de peso involuntária, baixo índice de massa corporal e massa muscular reduzida) e dois critérios (redução da ingestão ou assimilação de alimentos e inflamação pela doença). Para diagnosticar desnutrição pelo menos um critério fenotípico e um critério etiológico devem estar presentes [10]. Desse modo, a avaliação da desnutrição é </w:t>
      </w:r>
      <w:r w:rsidR="00E30BCF">
        <w:rPr>
          <w:rFonts w:ascii="Times New Roman" w:hAnsi="Times New Roman" w:cs="Times New Roman"/>
          <w:color w:val="000000" w:themeColor="text1"/>
          <w:sz w:val="24"/>
          <w:szCs w:val="24"/>
        </w:rPr>
        <w:t>importante e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envolve apenas o cálculo do IMC. Recentemente um grupo de pesquisadores publicou um novo critério global de desnutrição que envolveria a perda não intencional de peso, o baixo IMC, a redução da massa muscular </w:t>
      </w:r>
      <w:r w:rsidR="001E114D"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redução da ingestão alimentar. Somado a isso, a aplicação de instrumentos de detecção de risco de desnutrição, conforme dito anteriormente, tornam-se importantes subsídios para adequada determinação do estado nutricional do indivíduo [10]. Além disso a classificação do IMC indica massa corpórea total com base em indivíduos saudáveis, não encontramos na literatura a classificação de IMC para indivíduos em estado crônico com sequelas de doenças neurológicas e oncológicas. Mais pesquisas são necessárias para garantir dados consensuais de referência de IMC para outras populações em contextos clínicos.</w:t>
      </w:r>
      <w:r w:rsidR="00E3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Além disso, as classificações de estado nutricional foram desenvolvidas para a população saudável ou para pacientes hospitalizados, ainda falta recomendação para pacientes em cuidado domiciliar que fazem uso de TND. </w:t>
      </w:r>
    </w:p>
    <w:p w14:paraId="79F68536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Assim sendo, a investigação da composição corporal seria interessante, uma vez que há uma dissociação entre massa magra e massa gorda, e um possível diagnóstico posterior de sarcopenia nos pacientes em TND. Entretanto, ainda não foram publicados estudos que classificam a composição corporal de doentes em TND no país. Embora, seja possível a avaliação da composição corporal, essa deve vir acompanhada do peso corporal total, medido ou estimado que é um parâmetro importante para a conduta dietoterápica.</w:t>
      </w:r>
    </w:p>
    <w:p w14:paraId="01616F1E" w14:textId="77777777" w:rsidR="007366B2" w:rsidRPr="007366B2" w:rsidRDefault="007366B2" w:rsidP="007366B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Conclui-se, assim, que a maioria dos indivíduos se encontravam em estado nutricional de baixo peso e quando comparados adultos e idosos houve diferença em relação ao estado nutricional, onde os idosos estavam mais desnutridos. Os idosos e os pacientes classificados como baixo peso, tanto no início da TND quanto no final da terapia apresentam maior risco de óbito. A partir desses dados sugere-se novos estudos longitudinais e multicêntricos para confirmação ou não das inferências aqui apresentadas.</w:t>
      </w:r>
    </w:p>
    <w:p w14:paraId="11F0872D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E8271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Declaração de autoria</w:t>
      </w:r>
    </w:p>
    <w:p w14:paraId="375F1E21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Caryna Eurich Mazur foi responsável pelo projeto, análise de dados, interpretação e redação do artigo. Os demais autores contribuíram com a redação e revisão do artigo.</w:t>
      </w:r>
    </w:p>
    <w:p w14:paraId="57139787" w14:textId="77777777" w:rsidR="007366B2" w:rsidRPr="007366B2" w:rsidRDefault="007366B2" w:rsidP="00736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5A8F115" w14:textId="77777777" w:rsidR="007366B2" w:rsidRPr="007366B2" w:rsidRDefault="007366B2" w:rsidP="007366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66B2">
        <w:rPr>
          <w:rFonts w:ascii="Times New Roman" w:hAnsi="Times New Roman" w:cs="Times New Roman"/>
          <w:b/>
          <w:sz w:val="24"/>
          <w:szCs w:val="24"/>
        </w:rPr>
        <w:t>Conflito de interesse</w:t>
      </w:r>
    </w:p>
    <w:p w14:paraId="5D3580B4" w14:textId="77777777" w:rsidR="007366B2" w:rsidRPr="007366B2" w:rsidRDefault="007366B2" w:rsidP="0073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66B2">
        <w:rPr>
          <w:rFonts w:ascii="Times New Roman" w:hAnsi="Times New Roman" w:cs="Times New Roman"/>
          <w:sz w:val="24"/>
          <w:szCs w:val="24"/>
        </w:rPr>
        <w:t>Nenhum conflito de interesse é declarado.</w:t>
      </w:r>
    </w:p>
    <w:p w14:paraId="68975D91" w14:textId="77777777" w:rsidR="007366B2" w:rsidRPr="007366B2" w:rsidRDefault="007366B2" w:rsidP="007366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D7E43" w14:textId="77777777" w:rsidR="007366B2" w:rsidRPr="007366B2" w:rsidRDefault="007366B2" w:rsidP="007366B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366B2">
        <w:rPr>
          <w:rFonts w:ascii="Times New Roman" w:hAnsi="Times New Roman" w:cs="Times New Roman"/>
          <w:b/>
          <w:sz w:val="24"/>
          <w:szCs w:val="24"/>
          <w:lang w:val="en-US"/>
        </w:rPr>
        <w:t>Referências</w:t>
      </w:r>
    </w:p>
    <w:p w14:paraId="5F118A1C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366B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1] Ojo O. The challenges of home enteral tube feeding: a global perspective.Nutrients. 2015 Apr 8;7(4):2524-38.</w:t>
      </w:r>
    </w:p>
    <w:p w14:paraId="3EEC2FBC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[2] Morello M, Marcon ML, Laviano A, Giometto M, Baruffi C, Zulian E et al. Enteral Nutritoon in Nursing Home Residents: A 5-year (2001-2005) Epidemiological Analysis. NutrClinPract 2009; 24(5): 635-641.</w:t>
      </w:r>
    </w:p>
    <w:p w14:paraId="05F017CB" w14:textId="77777777" w:rsidR="007366B2" w:rsidRPr="00D82A8A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[3] Shaw AS, Ruhlin M, Wagener N, Stanga Z, Meier R, Ballmer PE. Home artificial nutrition in Switzerland: An epidemiological Survey from 2005 to 2009. </w:t>
      </w:r>
      <w:r w:rsidRPr="00D82A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Ann NutrMetab 2013; 62:207-213. </w:t>
      </w:r>
    </w:p>
    <w:p w14:paraId="66CD67B6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82A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246C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[4] De LuisDA, Izaola O, Cuellar LA, Terroba MC, Cabezas G, De La Fuente B. Experience over 12 yearswith home enteral nutrition in a healthcare área of Spain. 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J Hum Nutr Diet 2013;26(Suppl 1):39-44. </w:t>
      </w:r>
    </w:p>
    <w:p w14:paraId="7110AE52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[5] Klek S, Hermanowicz A, Dziwiszek G, Matysiak K, Szczepanek K, Szybinski P, Galas A. Home enteral nutrition reduces complications, length of stay and health care costs: results from a multicenter study. Am J ClinNutr. 2014 Aug;100(2):609-15.</w:t>
      </w:r>
    </w:p>
    <w:p w14:paraId="27FC6DA3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[6] Santarpia L, Pagano MC, Pasanisi F, Contaldo F. Home artificial nutrition: An update seven years after the regional regulation. ClinNutr 2014; 33(5): 872-878.</w:t>
      </w:r>
    </w:p>
    <w:p w14:paraId="1A06C4C8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[7] World Health Organization. Obesity: preventing and managing the global epidemic. Geneva: World Health Organization; 1998. (Technical Report Series, 894).</w:t>
      </w:r>
    </w:p>
    <w:p w14:paraId="10B7F9D6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[8] Lipschitz DA. Screening for nutritional status in the elderly. 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PrimCare 1994; 21:55-67.</w:t>
      </w:r>
    </w:p>
    <w:p w14:paraId="7CF83DA9" w14:textId="77777777" w:rsidR="007366B2" w:rsidRPr="007366B2" w:rsidRDefault="007366B2" w:rsidP="007366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[9] Taibo RV, Olmos MAM, Guerrero DB, Casariego AV, García RP, Sueiro AM et al. 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Epidemiology of home enteral nutrition: an approximation to reality. Nutr Hosp 2018 Jun 7;35(3):511-518.</w:t>
      </w:r>
    </w:p>
    <w:p w14:paraId="5A628211" w14:textId="77777777" w:rsidR="006D6AE4" w:rsidRPr="007366B2" w:rsidRDefault="007366B2" w:rsidP="005B189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[10] Cederholm T, Jensen GL, Correia MITD, Gonzalez MC, Fukushima R, Higashiguchi T et al. GLIM criteria for the diagnosis of malnutrition - A consensus report from the 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global clinical nutrition Community. </w:t>
      </w:r>
      <w:r w:rsidRPr="007366B2">
        <w:rPr>
          <w:rFonts w:ascii="Times New Roman" w:hAnsi="Times New Roman" w:cs="Times New Roman"/>
          <w:color w:val="000000" w:themeColor="text1"/>
          <w:sz w:val="24"/>
          <w:szCs w:val="24"/>
        </w:rPr>
        <w:t>Clin Nutr. 2018 Sep 3. pii: S0261-5614(18)31344-X.</w:t>
      </w:r>
    </w:p>
    <w:sectPr w:rsidR="006D6AE4" w:rsidRPr="007366B2" w:rsidSect="00365FA3">
      <w:footerReference w:type="default" r:id="rId16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21ED2" w14:textId="77777777" w:rsidR="000103A9" w:rsidRDefault="000103A9" w:rsidP="00DE307A">
      <w:pPr>
        <w:spacing w:after="0" w:line="240" w:lineRule="auto"/>
      </w:pPr>
      <w:r>
        <w:separator/>
      </w:r>
    </w:p>
  </w:endnote>
  <w:endnote w:type="continuationSeparator" w:id="0">
    <w:p w14:paraId="7590BA2E" w14:textId="77777777" w:rsidR="000103A9" w:rsidRDefault="000103A9" w:rsidP="00DE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60820990"/>
      <w:docPartObj>
        <w:docPartGallery w:val="Page Numbers (Bottom of Page)"/>
        <w:docPartUnique/>
      </w:docPartObj>
    </w:sdtPr>
    <w:sdtEndPr/>
    <w:sdtContent>
      <w:p w14:paraId="2F299073" w14:textId="046ED23B" w:rsidR="000E3662" w:rsidRPr="00DE307A" w:rsidRDefault="000E3662">
        <w:pPr>
          <w:pStyle w:val="Rodap"/>
          <w:jc w:val="right"/>
          <w:rPr>
            <w:rFonts w:ascii="Times New Roman" w:hAnsi="Times New Roman" w:cs="Times New Roman"/>
          </w:rPr>
        </w:pPr>
        <w:r w:rsidRPr="00DE307A">
          <w:rPr>
            <w:rFonts w:ascii="Times New Roman" w:hAnsi="Times New Roman" w:cs="Times New Roman"/>
          </w:rPr>
          <w:fldChar w:fldCharType="begin"/>
        </w:r>
        <w:r w:rsidRPr="00DE307A">
          <w:rPr>
            <w:rFonts w:ascii="Times New Roman" w:hAnsi="Times New Roman" w:cs="Times New Roman"/>
          </w:rPr>
          <w:instrText>PAGE   \* MERGEFORMAT</w:instrText>
        </w:r>
        <w:r w:rsidRPr="00DE307A">
          <w:rPr>
            <w:rFonts w:ascii="Times New Roman" w:hAnsi="Times New Roman" w:cs="Times New Roman"/>
          </w:rPr>
          <w:fldChar w:fldCharType="separate"/>
        </w:r>
        <w:r w:rsidR="00D82A8A">
          <w:rPr>
            <w:rFonts w:ascii="Times New Roman" w:hAnsi="Times New Roman" w:cs="Times New Roman"/>
            <w:noProof/>
          </w:rPr>
          <w:t>1</w:t>
        </w:r>
        <w:r w:rsidRPr="00DE307A">
          <w:rPr>
            <w:rFonts w:ascii="Times New Roman" w:hAnsi="Times New Roman" w:cs="Times New Roman"/>
          </w:rPr>
          <w:fldChar w:fldCharType="end"/>
        </w:r>
      </w:p>
    </w:sdtContent>
  </w:sdt>
  <w:p w14:paraId="689751AF" w14:textId="77777777" w:rsidR="000E3662" w:rsidRDefault="000E36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0CD08" w14:textId="77777777" w:rsidR="000103A9" w:rsidRDefault="000103A9" w:rsidP="00DE307A">
      <w:pPr>
        <w:spacing w:after="0" w:line="240" w:lineRule="auto"/>
      </w:pPr>
      <w:r>
        <w:separator/>
      </w:r>
    </w:p>
  </w:footnote>
  <w:footnote w:type="continuationSeparator" w:id="0">
    <w:p w14:paraId="2372360D" w14:textId="77777777" w:rsidR="000103A9" w:rsidRDefault="000103A9" w:rsidP="00DE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C6369"/>
    <w:multiLevelType w:val="hybridMultilevel"/>
    <w:tmpl w:val="F7865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3"/>
    <w:rsid w:val="00004A30"/>
    <w:rsid w:val="000103A9"/>
    <w:rsid w:val="000137E7"/>
    <w:rsid w:val="00022F6F"/>
    <w:rsid w:val="0002613D"/>
    <w:rsid w:val="0003063E"/>
    <w:rsid w:val="000358AB"/>
    <w:rsid w:val="0004472C"/>
    <w:rsid w:val="000546DE"/>
    <w:rsid w:val="00054744"/>
    <w:rsid w:val="00060EB3"/>
    <w:rsid w:val="00082974"/>
    <w:rsid w:val="000858EC"/>
    <w:rsid w:val="00097779"/>
    <w:rsid w:val="000A577D"/>
    <w:rsid w:val="000B0C98"/>
    <w:rsid w:val="000B1DAB"/>
    <w:rsid w:val="000C1645"/>
    <w:rsid w:val="000C1BB7"/>
    <w:rsid w:val="000E3662"/>
    <w:rsid w:val="000F4E17"/>
    <w:rsid w:val="00106112"/>
    <w:rsid w:val="00107B3A"/>
    <w:rsid w:val="00110E7A"/>
    <w:rsid w:val="00135FC8"/>
    <w:rsid w:val="001623C7"/>
    <w:rsid w:val="00175E15"/>
    <w:rsid w:val="001800EA"/>
    <w:rsid w:val="00183FC6"/>
    <w:rsid w:val="00195F41"/>
    <w:rsid w:val="001A470E"/>
    <w:rsid w:val="001A77B9"/>
    <w:rsid w:val="001B6CB1"/>
    <w:rsid w:val="001C7792"/>
    <w:rsid w:val="001D356C"/>
    <w:rsid w:val="001E114D"/>
    <w:rsid w:val="001F0E8E"/>
    <w:rsid w:val="001F6A8C"/>
    <w:rsid w:val="00202833"/>
    <w:rsid w:val="00210C45"/>
    <w:rsid w:val="00216450"/>
    <w:rsid w:val="00216A11"/>
    <w:rsid w:val="002373D4"/>
    <w:rsid w:val="002470E3"/>
    <w:rsid w:val="002503D3"/>
    <w:rsid w:val="0025267F"/>
    <w:rsid w:val="00255D80"/>
    <w:rsid w:val="00271315"/>
    <w:rsid w:val="00284229"/>
    <w:rsid w:val="002906ED"/>
    <w:rsid w:val="00294B9C"/>
    <w:rsid w:val="002A2243"/>
    <w:rsid w:val="002A254A"/>
    <w:rsid w:val="002A5C12"/>
    <w:rsid w:val="002A7892"/>
    <w:rsid w:val="002A7E50"/>
    <w:rsid w:val="002B13D0"/>
    <w:rsid w:val="002B3EE9"/>
    <w:rsid w:val="002C22FD"/>
    <w:rsid w:val="002D0F75"/>
    <w:rsid w:val="002D44FB"/>
    <w:rsid w:val="003013CF"/>
    <w:rsid w:val="003039CB"/>
    <w:rsid w:val="00304440"/>
    <w:rsid w:val="00304888"/>
    <w:rsid w:val="00317E6C"/>
    <w:rsid w:val="003230E9"/>
    <w:rsid w:val="00326EA5"/>
    <w:rsid w:val="00327667"/>
    <w:rsid w:val="00331BD9"/>
    <w:rsid w:val="00334C76"/>
    <w:rsid w:val="0034093E"/>
    <w:rsid w:val="00347538"/>
    <w:rsid w:val="00362EA6"/>
    <w:rsid w:val="00365FA3"/>
    <w:rsid w:val="00373C31"/>
    <w:rsid w:val="00376376"/>
    <w:rsid w:val="00377C8D"/>
    <w:rsid w:val="00386245"/>
    <w:rsid w:val="003906A2"/>
    <w:rsid w:val="003B06AA"/>
    <w:rsid w:val="003C1479"/>
    <w:rsid w:val="003D2970"/>
    <w:rsid w:val="003D700E"/>
    <w:rsid w:val="003F1CBC"/>
    <w:rsid w:val="00405FBE"/>
    <w:rsid w:val="00420224"/>
    <w:rsid w:val="00423EAD"/>
    <w:rsid w:val="00435D00"/>
    <w:rsid w:val="0044283D"/>
    <w:rsid w:val="00446BDE"/>
    <w:rsid w:val="00461CBB"/>
    <w:rsid w:val="004623FA"/>
    <w:rsid w:val="004659D3"/>
    <w:rsid w:val="00470F61"/>
    <w:rsid w:val="00471E26"/>
    <w:rsid w:val="00472511"/>
    <w:rsid w:val="004834DD"/>
    <w:rsid w:val="00484A03"/>
    <w:rsid w:val="0048701D"/>
    <w:rsid w:val="004A755F"/>
    <w:rsid w:val="004C38E1"/>
    <w:rsid w:val="004C7762"/>
    <w:rsid w:val="004D0A77"/>
    <w:rsid w:val="004D11DC"/>
    <w:rsid w:val="004D4F29"/>
    <w:rsid w:val="004E12EE"/>
    <w:rsid w:val="004E16B5"/>
    <w:rsid w:val="004F269E"/>
    <w:rsid w:val="004F47F8"/>
    <w:rsid w:val="005140E2"/>
    <w:rsid w:val="00521677"/>
    <w:rsid w:val="0052322E"/>
    <w:rsid w:val="00543BAE"/>
    <w:rsid w:val="0055182E"/>
    <w:rsid w:val="005551C0"/>
    <w:rsid w:val="00567CF1"/>
    <w:rsid w:val="005714C3"/>
    <w:rsid w:val="005743CB"/>
    <w:rsid w:val="00586A1B"/>
    <w:rsid w:val="00590EA9"/>
    <w:rsid w:val="00595D7E"/>
    <w:rsid w:val="00596B6D"/>
    <w:rsid w:val="005A2C52"/>
    <w:rsid w:val="005B1893"/>
    <w:rsid w:val="005B7046"/>
    <w:rsid w:val="005D03D4"/>
    <w:rsid w:val="005E3617"/>
    <w:rsid w:val="005E6C0E"/>
    <w:rsid w:val="006054B3"/>
    <w:rsid w:val="00606AA1"/>
    <w:rsid w:val="0060798F"/>
    <w:rsid w:val="006214FE"/>
    <w:rsid w:val="00623451"/>
    <w:rsid w:val="0062602C"/>
    <w:rsid w:val="00631DB3"/>
    <w:rsid w:val="006324D4"/>
    <w:rsid w:val="00632E75"/>
    <w:rsid w:val="00636113"/>
    <w:rsid w:val="00650710"/>
    <w:rsid w:val="00662D65"/>
    <w:rsid w:val="00675162"/>
    <w:rsid w:val="00675218"/>
    <w:rsid w:val="00680BC4"/>
    <w:rsid w:val="00680FFA"/>
    <w:rsid w:val="00681D0E"/>
    <w:rsid w:val="00687104"/>
    <w:rsid w:val="006B0924"/>
    <w:rsid w:val="006D3A59"/>
    <w:rsid w:val="006D6AE4"/>
    <w:rsid w:val="00700E94"/>
    <w:rsid w:val="00705D71"/>
    <w:rsid w:val="00725ABD"/>
    <w:rsid w:val="00725ADC"/>
    <w:rsid w:val="007366B2"/>
    <w:rsid w:val="0074133A"/>
    <w:rsid w:val="00741ADD"/>
    <w:rsid w:val="00751D55"/>
    <w:rsid w:val="00752C58"/>
    <w:rsid w:val="00772136"/>
    <w:rsid w:val="007847B3"/>
    <w:rsid w:val="00790C06"/>
    <w:rsid w:val="007914AB"/>
    <w:rsid w:val="0079170D"/>
    <w:rsid w:val="00793FB4"/>
    <w:rsid w:val="007A0B46"/>
    <w:rsid w:val="007A4EF1"/>
    <w:rsid w:val="007B0409"/>
    <w:rsid w:val="007B15BC"/>
    <w:rsid w:val="007C180E"/>
    <w:rsid w:val="007C1CBA"/>
    <w:rsid w:val="007D6123"/>
    <w:rsid w:val="007E7BFF"/>
    <w:rsid w:val="007F689E"/>
    <w:rsid w:val="008024CC"/>
    <w:rsid w:val="00810552"/>
    <w:rsid w:val="0081254B"/>
    <w:rsid w:val="00815844"/>
    <w:rsid w:val="008431DC"/>
    <w:rsid w:val="008447E9"/>
    <w:rsid w:val="008452D2"/>
    <w:rsid w:val="0085278A"/>
    <w:rsid w:val="008643B1"/>
    <w:rsid w:val="00877601"/>
    <w:rsid w:val="0088503B"/>
    <w:rsid w:val="00893E08"/>
    <w:rsid w:val="008954A0"/>
    <w:rsid w:val="008A1D41"/>
    <w:rsid w:val="008A1F95"/>
    <w:rsid w:val="008A639D"/>
    <w:rsid w:val="008D0D00"/>
    <w:rsid w:val="008E186F"/>
    <w:rsid w:val="008F296F"/>
    <w:rsid w:val="008F4186"/>
    <w:rsid w:val="00901941"/>
    <w:rsid w:val="009040CC"/>
    <w:rsid w:val="00911D23"/>
    <w:rsid w:val="009246CC"/>
    <w:rsid w:val="00924C41"/>
    <w:rsid w:val="00931153"/>
    <w:rsid w:val="009318A6"/>
    <w:rsid w:val="00931E82"/>
    <w:rsid w:val="0094477E"/>
    <w:rsid w:val="0095184E"/>
    <w:rsid w:val="00955516"/>
    <w:rsid w:val="009628B3"/>
    <w:rsid w:val="00984624"/>
    <w:rsid w:val="00985CBA"/>
    <w:rsid w:val="00991D41"/>
    <w:rsid w:val="009A76CF"/>
    <w:rsid w:val="009B2AAC"/>
    <w:rsid w:val="009C20B1"/>
    <w:rsid w:val="009D4ACA"/>
    <w:rsid w:val="009E2042"/>
    <w:rsid w:val="009F2184"/>
    <w:rsid w:val="00A172B6"/>
    <w:rsid w:val="00A30596"/>
    <w:rsid w:val="00A3524A"/>
    <w:rsid w:val="00A356C8"/>
    <w:rsid w:val="00A365BF"/>
    <w:rsid w:val="00A4600D"/>
    <w:rsid w:val="00A52800"/>
    <w:rsid w:val="00A57133"/>
    <w:rsid w:val="00A602CA"/>
    <w:rsid w:val="00A618AA"/>
    <w:rsid w:val="00A72C63"/>
    <w:rsid w:val="00A74A4B"/>
    <w:rsid w:val="00A82519"/>
    <w:rsid w:val="00A87A58"/>
    <w:rsid w:val="00A90DB9"/>
    <w:rsid w:val="00A94A87"/>
    <w:rsid w:val="00AA70BE"/>
    <w:rsid w:val="00AC5EEF"/>
    <w:rsid w:val="00AC736E"/>
    <w:rsid w:val="00AD20FC"/>
    <w:rsid w:val="00AD240F"/>
    <w:rsid w:val="00AD260C"/>
    <w:rsid w:val="00AE0580"/>
    <w:rsid w:val="00B01C6A"/>
    <w:rsid w:val="00B03CE0"/>
    <w:rsid w:val="00B04083"/>
    <w:rsid w:val="00B172D4"/>
    <w:rsid w:val="00B20AAE"/>
    <w:rsid w:val="00B301E4"/>
    <w:rsid w:val="00B411DF"/>
    <w:rsid w:val="00B41E24"/>
    <w:rsid w:val="00B513DE"/>
    <w:rsid w:val="00B5298A"/>
    <w:rsid w:val="00B5611C"/>
    <w:rsid w:val="00B579A3"/>
    <w:rsid w:val="00B66908"/>
    <w:rsid w:val="00B67C82"/>
    <w:rsid w:val="00B77582"/>
    <w:rsid w:val="00B85789"/>
    <w:rsid w:val="00B86AD1"/>
    <w:rsid w:val="00B86F90"/>
    <w:rsid w:val="00B86FED"/>
    <w:rsid w:val="00B93E7F"/>
    <w:rsid w:val="00BB1F92"/>
    <w:rsid w:val="00BB2078"/>
    <w:rsid w:val="00BB2EBE"/>
    <w:rsid w:val="00BC73D9"/>
    <w:rsid w:val="00BD34D7"/>
    <w:rsid w:val="00BD5CC3"/>
    <w:rsid w:val="00BD6B32"/>
    <w:rsid w:val="00BD6E36"/>
    <w:rsid w:val="00BF7DE4"/>
    <w:rsid w:val="00C04418"/>
    <w:rsid w:val="00C11EA1"/>
    <w:rsid w:val="00C1292C"/>
    <w:rsid w:val="00C15326"/>
    <w:rsid w:val="00C17FA3"/>
    <w:rsid w:val="00C24C30"/>
    <w:rsid w:val="00C32E26"/>
    <w:rsid w:val="00C42712"/>
    <w:rsid w:val="00C43DF1"/>
    <w:rsid w:val="00C47031"/>
    <w:rsid w:val="00C54A5A"/>
    <w:rsid w:val="00C57B2A"/>
    <w:rsid w:val="00C71ECE"/>
    <w:rsid w:val="00C73A0A"/>
    <w:rsid w:val="00C754E9"/>
    <w:rsid w:val="00C85DD7"/>
    <w:rsid w:val="00C87D96"/>
    <w:rsid w:val="00C94B6C"/>
    <w:rsid w:val="00CA46B2"/>
    <w:rsid w:val="00CA6E77"/>
    <w:rsid w:val="00CC5451"/>
    <w:rsid w:val="00CD659F"/>
    <w:rsid w:val="00CE0384"/>
    <w:rsid w:val="00CE1E5A"/>
    <w:rsid w:val="00D0355F"/>
    <w:rsid w:val="00D05B19"/>
    <w:rsid w:val="00D1293D"/>
    <w:rsid w:val="00D15C67"/>
    <w:rsid w:val="00D26A7A"/>
    <w:rsid w:val="00D30FF9"/>
    <w:rsid w:val="00D322F6"/>
    <w:rsid w:val="00D34B9C"/>
    <w:rsid w:val="00D34E44"/>
    <w:rsid w:val="00D4473C"/>
    <w:rsid w:val="00D52436"/>
    <w:rsid w:val="00D65C10"/>
    <w:rsid w:val="00D663B7"/>
    <w:rsid w:val="00D671E9"/>
    <w:rsid w:val="00D7191F"/>
    <w:rsid w:val="00D81386"/>
    <w:rsid w:val="00D82A8A"/>
    <w:rsid w:val="00DA666E"/>
    <w:rsid w:val="00DA72BD"/>
    <w:rsid w:val="00DC6A28"/>
    <w:rsid w:val="00DE307A"/>
    <w:rsid w:val="00DE6569"/>
    <w:rsid w:val="00DE6CA5"/>
    <w:rsid w:val="00E0584B"/>
    <w:rsid w:val="00E0666D"/>
    <w:rsid w:val="00E15D7D"/>
    <w:rsid w:val="00E2519F"/>
    <w:rsid w:val="00E26FDA"/>
    <w:rsid w:val="00E30BCF"/>
    <w:rsid w:val="00E3499F"/>
    <w:rsid w:val="00E42E9C"/>
    <w:rsid w:val="00E45259"/>
    <w:rsid w:val="00E60820"/>
    <w:rsid w:val="00E61915"/>
    <w:rsid w:val="00E65B73"/>
    <w:rsid w:val="00E82836"/>
    <w:rsid w:val="00E83F3C"/>
    <w:rsid w:val="00E8713D"/>
    <w:rsid w:val="00E90210"/>
    <w:rsid w:val="00EC7394"/>
    <w:rsid w:val="00ED34AF"/>
    <w:rsid w:val="00ED3906"/>
    <w:rsid w:val="00EE0153"/>
    <w:rsid w:val="00EE34B5"/>
    <w:rsid w:val="00EE4A97"/>
    <w:rsid w:val="00EF302E"/>
    <w:rsid w:val="00EF4FB3"/>
    <w:rsid w:val="00EF5F19"/>
    <w:rsid w:val="00EF7512"/>
    <w:rsid w:val="00F01E9F"/>
    <w:rsid w:val="00F22643"/>
    <w:rsid w:val="00F26A21"/>
    <w:rsid w:val="00F423D8"/>
    <w:rsid w:val="00F52F97"/>
    <w:rsid w:val="00F536AB"/>
    <w:rsid w:val="00F81C63"/>
    <w:rsid w:val="00F8525A"/>
    <w:rsid w:val="00F97A07"/>
    <w:rsid w:val="00FA2D14"/>
    <w:rsid w:val="00FC1550"/>
    <w:rsid w:val="00FE02B8"/>
    <w:rsid w:val="00FE374E"/>
    <w:rsid w:val="00FF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7703"/>
  <w15:docId w15:val="{666AB2B4-B45E-4865-8A69-ED2F621C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B2"/>
    <w:pPr>
      <w:spacing w:after="200" w:line="276" w:lineRule="auto"/>
    </w:pPr>
    <w:rPr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1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366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833"/>
    <w:pPr>
      <w:ind w:left="720"/>
      <w:contextualSpacing/>
    </w:pPr>
  </w:style>
  <w:style w:type="table" w:styleId="Tabelacomgrade">
    <w:name w:val="Table Grid"/>
    <w:basedOn w:val="Tabelanormal"/>
    <w:uiPriority w:val="39"/>
    <w:rsid w:val="00D3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2C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2C5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DE3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07A"/>
  </w:style>
  <w:style w:type="paragraph" w:styleId="Rodap">
    <w:name w:val="footer"/>
    <w:basedOn w:val="Normal"/>
    <w:link w:val="RodapChar"/>
    <w:uiPriority w:val="99"/>
    <w:unhideWhenUsed/>
    <w:rsid w:val="00DE3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07A"/>
  </w:style>
  <w:style w:type="character" w:styleId="Nmerodelinha">
    <w:name w:val="line number"/>
    <w:basedOn w:val="Fontepargpadro"/>
    <w:uiPriority w:val="99"/>
    <w:semiHidden/>
    <w:unhideWhenUsed/>
    <w:rsid w:val="00365FA3"/>
  </w:style>
  <w:style w:type="character" w:styleId="Refdecomentrio">
    <w:name w:val="annotation reference"/>
    <w:basedOn w:val="Fontepargpadro"/>
    <w:uiPriority w:val="99"/>
    <w:semiHidden/>
    <w:unhideWhenUsed/>
    <w:rsid w:val="00362E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62EA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62E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2E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62EA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EA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7366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4093E"/>
    <w:rPr>
      <w:color w:val="808080"/>
      <w:shd w:val="clear" w:color="auto" w:fill="E6E6E6"/>
    </w:rPr>
  </w:style>
  <w:style w:type="character" w:customStyle="1" w:styleId="refauthors">
    <w:name w:val="refauthors"/>
    <w:basedOn w:val="Fontepargpadro"/>
    <w:rsid w:val="009246CC"/>
  </w:style>
  <w:style w:type="character" w:customStyle="1" w:styleId="reftitle">
    <w:name w:val="reftitle"/>
    <w:basedOn w:val="Fontepargpadro"/>
    <w:rsid w:val="009246CC"/>
  </w:style>
  <w:style w:type="character" w:customStyle="1" w:styleId="refseriestitle">
    <w:name w:val="refseriestitle"/>
    <w:basedOn w:val="Fontepargpadro"/>
    <w:rsid w:val="009246CC"/>
  </w:style>
  <w:style w:type="character" w:customStyle="1" w:styleId="refseriesdate">
    <w:name w:val="refseriesdate"/>
    <w:basedOn w:val="Fontepargpadro"/>
    <w:rsid w:val="009246CC"/>
  </w:style>
  <w:style w:type="character" w:customStyle="1" w:styleId="refseriesvolume">
    <w:name w:val="refseriesvolume"/>
    <w:basedOn w:val="Fontepargpadro"/>
    <w:rsid w:val="009246CC"/>
  </w:style>
  <w:style w:type="character" w:customStyle="1" w:styleId="refpages">
    <w:name w:val="refpages"/>
    <w:basedOn w:val="Fontepargpadro"/>
    <w:rsid w:val="009246CC"/>
  </w:style>
  <w:style w:type="character" w:customStyle="1" w:styleId="Ttulo1Char">
    <w:name w:val="Título 1 Char"/>
    <w:basedOn w:val="Fontepargpadro"/>
    <w:link w:val="Ttulo1"/>
    <w:uiPriority w:val="9"/>
    <w:rsid w:val="00E619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2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50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65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65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8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5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67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8849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540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901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9695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0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92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5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75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chavoni@hotmail.com" TargetMode="External"/><Relationship Id="rId13" Type="http://schemas.openxmlformats.org/officeDocument/2006/relationships/hyperlink" Target="mailto:carynanutricionista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ynanutricionista@gmail.com" TargetMode="External"/><Relationship Id="rId12" Type="http://schemas.openxmlformats.org/officeDocument/2006/relationships/hyperlink" Target="mailto:eliane.cesario@yahoo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ianamschiefer@gmail.com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hyperlink" Target="mailto:estelarabito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zene@outlook.com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yna%20Mazur\Desktop\Tabula&#231;&#227;o%20DOC%20-%20Caryna%20-%20jun-18-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yna%20Mazur\Desktop\Tabula&#231;&#227;o%20DOC%20-%20Caryna%20-%20jun-18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'Gráficos '!$H$28</c:f>
              <c:strCache>
                <c:ptCount val="1"/>
                <c:pt idx="0">
                  <c:v>Baixo peso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'Gráficos '!$G$29:$G$32</c:f>
              <c:strCache>
                <c:ptCount val="4"/>
                <c:pt idx="0">
                  <c:v>Adultos</c:v>
                </c:pt>
                <c:pt idx="1">
                  <c:v>Idosos</c:v>
                </c:pt>
                <c:pt idx="2">
                  <c:v>Sexo feminino</c:v>
                </c:pt>
                <c:pt idx="3">
                  <c:v>Sexo Masculino</c:v>
                </c:pt>
              </c:strCache>
            </c:strRef>
          </c:cat>
          <c:val>
            <c:numRef>
              <c:f>'Gráficos '!$H$29:$H$32</c:f>
              <c:numCache>
                <c:formatCode>General</c:formatCode>
                <c:ptCount val="4"/>
                <c:pt idx="0">
                  <c:v>54.1</c:v>
                </c:pt>
                <c:pt idx="1">
                  <c:v>76.2</c:v>
                </c:pt>
                <c:pt idx="2">
                  <c:v>69.7</c:v>
                </c:pt>
                <c:pt idx="3">
                  <c:v>69.2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43-4C21-8FBE-E3320A265FB1}"/>
            </c:ext>
          </c:extLst>
        </c:ser>
        <c:ser>
          <c:idx val="1"/>
          <c:order val="1"/>
          <c:tx>
            <c:strRef>
              <c:f>'Gráficos '!$I$28</c:f>
              <c:strCache>
                <c:ptCount val="1"/>
                <c:pt idx="0">
                  <c:v>Eutrofia e sobrepeso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'Gráficos '!$G$29:$G$32</c:f>
              <c:strCache>
                <c:ptCount val="4"/>
                <c:pt idx="0">
                  <c:v>Adultos</c:v>
                </c:pt>
                <c:pt idx="1">
                  <c:v>Idosos</c:v>
                </c:pt>
                <c:pt idx="2">
                  <c:v>Sexo feminino</c:v>
                </c:pt>
                <c:pt idx="3">
                  <c:v>Sexo Masculino</c:v>
                </c:pt>
              </c:strCache>
            </c:strRef>
          </c:cat>
          <c:val>
            <c:numRef>
              <c:f>'Gráficos '!$I$29:$I$32</c:f>
              <c:numCache>
                <c:formatCode>General</c:formatCode>
                <c:ptCount val="4"/>
                <c:pt idx="0">
                  <c:v>44.7</c:v>
                </c:pt>
                <c:pt idx="1">
                  <c:v>23.8</c:v>
                </c:pt>
                <c:pt idx="2">
                  <c:v>30.3</c:v>
                </c:pt>
                <c:pt idx="3">
                  <c:v>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43-4C21-8FBE-E3320A265F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716224"/>
        <c:axId val="92441216"/>
      </c:barChart>
      <c:catAx>
        <c:axId val="917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92441216"/>
        <c:crosses val="autoZero"/>
        <c:auto val="1"/>
        <c:lblAlgn val="ctr"/>
        <c:lblOffset val="100"/>
        <c:noMultiLvlLbl val="0"/>
      </c:catAx>
      <c:valAx>
        <c:axId val="92441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9171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'Gráficos '!$L$28</c:f>
              <c:strCache>
                <c:ptCount val="1"/>
                <c:pt idx="0">
                  <c:v>Baixo peso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'Gráficos '!$K$29:$K$32</c:f>
              <c:strCache>
                <c:ptCount val="4"/>
                <c:pt idx="0">
                  <c:v>Adultos</c:v>
                </c:pt>
                <c:pt idx="1">
                  <c:v>Idosos</c:v>
                </c:pt>
                <c:pt idx="2">
                  <c:v>Sexo feminino</c:v>
                </c:pt>
                <c:pt idx="3">
                  <c:v>Sexo Masculino</c:v>
                </c:pt>
              </c:strCache>
            </c:strRef>
          </c:cat>
          <c:val>
            <c:numRef>
              <c:f>'Gráficos '!$L$29:$L$32</c:f>
              <c:numCache>
                <c:formatCode>General</c:formatCode>
                <c:ptCount val="4"/>
                <c:pt idx="0">
                  <c:v>61.6</c:v>
                </c:pt>
                <c:pt idx="1">
                  <c:v>81.400000000000006</c:v>
                </c:pt>
                <c:pt idx="2">
                  <c:v>75.7</c:v>
                </c:pt>
                <c:pt idx="3">
                  <c:v>73.900000000000006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12-4563-A7E1-8BC0E4176FB2}"/>
            </c:ext>
          </c:extLst>
        </c:ser>
        <c:ser>
          <c:idx val="1"/>
          <c:order val="1"/>
          <c:tx>
            <c:strRef>
              <c:f>'Gráficos '!$M$28</c:f>
              <c:strCache>
                <c:ptCount val="1"/>
                <c:pt idx="0">
                  <c:v>Eutrofia e sobrepeso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'Gráficos '!$K$29:$K$32</c:f>
              <c:strCache>
                <c:ptCount val="4"/>
                <c:pt idx="0">
                  <c:v>Adultos</c:v>
                </c:pt>
                <c:pt idx="1">
                  <c:v>Idosos</c:v>
                </c:pt>
                <c:pt idx="2">
                  <c:v>Sexo feminino</c:v>
                </c:pt>
                <c:pt idx="3">
                  <c:v>Sexo Masculino</c:v>
                </c:pt>
              </c:strCache>
            </c:strRef>
          </c:cat>
          <c:val>
            <c:numRef>
              <c:f>'Gráficos '!$M$29:$M$32</c:f>
              <c:numCache>
                <c:formatCode>General</c:formatCode>
                <c:ptCount val="4"/>
                <c:pt idx="0">
                  <c:v>38.4</c:v>
                </c:pt>
                <c:pt idx="1">
                  <c:v>18.600000000000001</c:v>
                </c:pt>
                <c:pt idx="2">
                  <c:v>24.3</c:v>
                </c:pt>
                <c:pt idx="3">
                  <c:v>26.1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12-4563-A7E1-8BC0E4176F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895744"/>
        <c:axId val="96897664"/>
      </c:barChart>
      <c:catAx>
        <c:axId val="968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96897664"/>
        <c:crosses val="autoZero"/>
        <c:auto val="1"/>
        <c:lblAlgn val="ctr"/>
        <c:lblOffset val="100"/>
        <c:noMultiLvlLbl val="0"/>
      </c:catAx>
      <c:valAx>
        <c:axId val="96897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t-BR"/>
          </a:p>
        </c:txPr>
        <c:crossAx val="9689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t-B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3181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Caryna Eurich Mazur</dc:creator>
  <cp:lastModifiedBy>Usuário do Windows</cp:lastModifiedBy>
  <cp:revision>2</cp:revision>
  <dcterms:created xsi:type="dcterms:W3CDTF">2019-03-14T15:52:00Z</dcterms:created>
  <dcterms:modified xsi:type="dcterms:W3CDTF">2019-03-14T15:52:00Z</dcterms:modified>
</cp:coreProperties>
</file>